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200F3D4F"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32</w:t>
      </w:r>
      <w:r w:rsidRPr="005A5862">
        <w:rPr>
          <w:bCs/>
          <w:noProof w:val="0"/>
          <w:sz w:val="24"/>
          <w:szCs w:val="24"/>
        </w:rPr>
        <w:tab/>
      </w:r>
      <w:r w:rsidR="000D1AD4" w:rsidRPr="000D1AD4">
        <w:rPr>
          <w:bCs/>
          <w:noProof w:val="0"/>
          <w:sz w:val="24"/>
          <w:szCs w:val="24"/>
        </w:rPr>
        <w:t>R2-2508359</w:t>
      </w:r>
      <w:r w:rsidR="000D1AD4" w:rsidRPr="000D1AD4" w:rsidDel="000D1AD4">
        <w:rPr>
          <w:bCs/>
          <w:noProof w:val="0"/>
          <w:sz w:val="24"/>
          <w:szCs w:val="24"/>
        </w:rPr>
        <w:t xml:space="preserve"> </w:t>
      </w:r>
    </w:p>
    <w:p w14:paraId="3041C890" w14:textId="5C105100" w:rsidR="00EC34CB" w:rsidRPr="005A5862" w:rsidRDefault="00844F57" w:rsidP="00EC34CB">
      <w:pPr>
        <w:pStyle w:val="Header"/>
        <w:tabs>
          <w:tab w:val="right" w:pos="9641"/>
        </w:tabs>
        <w:rPr>
          <w:sz w:val="24"/>
          <w:szCs w:val="24"/>
          <w:lang w:eastAsia="zh-CN"/>
        </w:rPr>
      </w:pPr>
      <w:r w:rsidRPr="004F4048">
        <w:rPr>
          <w:sz w:val="24"/>
        </w:rPr>
        <w:t>Dallas, USA, 17 – 21 November 2025</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5A5A868B"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8693C">
        <w:rPr>
          <w:rFonts w:cs="Arial"/>
          <w:b/>
          <w:bCs/>
          <w:sz w:val="24"/>
          <w:lang w:eastAsia="ja-JP"/>
        </w:rPr>
        <w:t>10.2.2</w:t>
      </w:r>
    </w:p>
    <w:p w14:paraId="69D2481F" w14:textId="15FF3325"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815F5">
        <w:rPr>
          <w:rFonts w:ascii="Arial" w:hAnsi="Arial" w:cs="Arial"/>
          <w:b/>
          <w:bCs/>
          <w:sz w:val="24"/>
        </w:rPr>
        <w:t>, Nokia Shanghai Bell</w:t>
      </w:r>
    </w:p>
    <w:p w14:paraId="4325AA79" w14:textId="790054EC"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E1902" w:rsidRPr="002E1902">
        <w:rPr>
          <w:rFonts w:ascii="Arial" w:hAnsi="Arial" w:cs="Arial"/>
          <w:b/>
          <w:bCs/>
          <w:sz w:val="24"/>
        </w:rPr>
        <w:t>Initial considerations on NTN design for 6G</w:t>
      </w:r>
      <w:r w:rsidR="002E1902" w:rsidRPr="002E1902" w:rsidDel="002E1902">
        <w:rPr>
          <w:rFonts w:ascii="Arial" w:hAnsi="Arial" w:cs="Arial"/>
          <w:b/>
          <w:bCs/>
          <w:sz w:val="24"/>
        </w:rPr>
        <w:t xml:space="preserve"> </w:t>
      </w:r>
    </w:p>
    <w:p w14:paraId="1709BC4D" w14:textId="3546F8FF"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693C" w:rsidRPr="0098693C">
        <w:rPr>
          <w:rFonts w:ascii="Arial" w:hAnsi="Arial" w:cs="Arial"/>
          <w:b/>
          <w:bCs/>
          <w:sz w:val="24"/>
        </w:rPr>
        <w:t>FS_6G_Radio - Release 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1BBEFC12" w14:textId="369E5997" w:rsidR="00E72A94" w:rsidRDefault="00975DAC" w:rsidP="00EC34CB">
      <w:r>
        <w:t xml:space="preserve">RAN2#131bis </w:t>
      </w:r>
      <w:r w:rsidR="00E72A94">
        <w:t xml:space="preserve">discussed NTN for an hour, </w:t>
      </w:r>
      <w:r w:rsidR="006C576D">
        <w:t xml:space="preserve">with the main topic being how to harmonize the </w:t>
      </w:r>
      <w:r w:rsidR="00633665">
        <w:t xml:space="preserve">TN and NTN </w:t>
      </w:r>
      <w:r w:rsidR="005140AA">
        <w:t>design</w:t>
      </w:r>
      <w:r w:rsidR="00E84C6D">
        <w:t>.</w:t>
      </w:r>
      <w:r w:rsidR="005140AA">
        <w:t xml:space="preserve"> </w:t>
      </w:r>
      <w:r w:rsidR="00E11FD3">
        <w:t xml:space="preserve">Different understandings </w:t>
      </w:r>
      <w:r w:rsidR="0088662B">
        <w:t xml:space="preserve">arose on how to harmonize, </w:t>
      </w:r>
      <w:r w:rsidR="00573BF8">
        <w:t xml:space="preserve">but general understanding seemed to be that the </w:t>
      </w:r>
      <w:r w:rsidR="00AD24C1">
        <w:t>NTN should be considered in</w:t>
      </w:r>
      <w:r w:rsidR="00E72A94">
        <w:t xml:space="preserve"> </w:t>
      </w:r>
      <w:r w:rsidR="00A92E86">
        <w:t>the initial design stages</w:t>
      </w:r>
      <w:r w:rsidR="00E72A94">
        <w:t xml:space="preserve"> </w:t>
      </w:r>
      <w:r w:rsidR="00EF3419">
        <w:t xml:space="preserve">of 6G TN, unlike 5G where it required a lot of tweaking to address the NTN related challenges. Thus, the following agreement were met, </w:t>
      </w:r>
      <w:r w:rsidR="00F87631">
        <w:t xml:space="preserve">urging companies to </w:t>
      </w:r>
      <w:r w:rsidR="00B21023">
        <w:t xml:space="preserve">identify the learnings from 5G and how to apply them to day1 6G </w:t>
      </w:r>
      <w:r w:rsidR="00615062">
        <w:t>NTN integration in TN</w:t>
      </w:r>
      <w:r w:rsidR="00B21023">
        <w:t>.</w:t>
      </w:r>
    </w:p>
    <w:tbl>
      <w:tblPr>
        <w:tblStyle w:val="TableGrid"/>
        <w:tblW w:w="0" w:type="auto"/>
        <w:tblLook w:val="04A0" w:firstRow="1" w:lastRow="0" w:firstColumn="1" w:lastColumn="0" w:noHBand="0" w:noVBand="1"/>
      </w:tblPr>
      <w:tblGrid>
        <w:gridCol w:w="9631"/>
      </w:tblGrid>
      <w:tr w:rsidR="00ED2C46" w14:paraId="4D15A133" w14:textId="77777777" w:rsidTr="00ED2C46">
        <w:tc>
          <w:tcPr>
            <w:tcW w:w="9631" w:type="dxa"/>
          </w:tcPr>
          <w:p w14:paraId="54FB7072" w14:textId="1F123FE6" w:rsidR="00ED2C46" w:rsidRDefault="00ED2C46" w:rsidP="00EC34CB">
            <w:r>
              <w:t>For next meeting companies should identify essential requirements for NTN and identify which functionality should be considered in the common design with TN and what are NTN specific and whether they are essential.</w:t>
            </w:r>
          </w:p>
        </w:tc>
      </w:tr>
    </w:tbl>
    <w:p w14:paraId="608B2C0B" w14:textId="411FF198" w:rsidR="00ED2C46" w:rsidRDefault="00FD6DD4" w:rsidP="00EC34CB">
      <w:r w:rsidRPr="00FD6DD4">
        <w:t xml:space="preserve">This document from the 3GPP TSG-RAN WG2 meeting discusses initial considerations for integrating non-terrestrial networks (NTN) into 6G design, emphasizing harmonization with terrestrial networks (TN), essential day-1 requirements like synchronization without GNSS, handling long propagation delays, mobility enhancements, and measurement frameworks, while proposing prioritization of FDD, common design features such as CB-PUSCH, and NTN-specific system information to support features like pre-compensation, discontinuous coverage, and time/location-based mobility. </w:t>
      </w:r>
    </w:p>
    <w:p w14:paraId="00E8C5BA" w14:textId="036FFD87" w:rsidR="00947D38" w:rsidRDefault="00EC34CB" w:rsidP="00F3001B">
      <w:pPr>
        <w:pStyle w:val="Heading1"/>
      </w:pPr>
      <w:r w:rsidRPr="006E13D1">
        <w:t>2</w:t>
      </w:r>
      <w:r w:rsidRPr="006E13D1">
        <w:tab/>
      </w:r>
      <w:r w:rsidR="00912535">
        <w:t>Discussion</w:t>
      </w:r>
    </w:p>
    <w:p w14:paraId="075F90E4" w14:textId="1F77A5A5" w:rsidR="00947D38" w:rsidRPr="007B1706" w:rsidRDefault="00D35357" w:rsidP="000B41FE">
      <w:r>
        <w:t xml:space="preserve">6G </w:t>
      </w:r>
      <w:r w:rsidR="00B420F4">
        <w:t>is assumed to</w:t>
      </w:r>
      <w:r w:rsidR="00AE2A21">
        <w:t xml:space="preserve"> define</w:t>
      </w:r>
      <w:r w:rsidR="00E463FD">
        <w:t xml:space="preserve"> </w:t>
      </w:r>
      <w:r w:rsidR="00607DF2">
        <w:t xml:space="preserve">different device families </w:t>
      </w:r>
      <w:r w:rsidR="008768C4">
        <w:t xml:space="preserve">each sharing a common set of minimum requirements. </w:t>
      </w:r>
      <w:r w:rsidR="00331E70">
        <w:t xml:space="preserve">Different device families </w:t>
      </w:r>
      <w:r w:rsidR="001F79A0" w:rsidRPr="00331E70">
        <w:t>enable</w:t>
      </w:r>
      <w:r w:rsidR="00331E70" w:rsidRPr="00331E70">
        <w:t xml:space="preserve"> enough market opportunities for variety of devices with different form factors, </w:t>
      </w:r>
      <w:r w:rsidR="00331E70" w:rsidRPr="00331E70">
        <w:rPr>
          <w:lang w:val="en-US"/>
        </w:rPr>
        <w:t>hardware and processing capabilities, data rates and cost constraints now and in the future.</w:t>
      </w:r>
      <w:r w:rsidR="00673C75">
        <w:rPr>
          <w:lang w:val="en-US"/>
        </w:rPr>
        <w:t xml:space="preserve"> </w:t>
      </w:r>
      <w:r w:rsidR="006B023D">
        <w:t xml:space="preserve">5G NTN </w:t>
      </w:r>
      <w:r w:rsidR="003E7019">
        <w:t xml:space="preserve">added an additional </w:t>
      </w:r>
      <w:r w:rsidR="00A176F4">
        <w:t xml:space="preserve">device </w:t>
      </w:r>
      <w:r w:rsidR="008D6CCD">
        <w:t>class</w:t>
      </w:r>
      <w:r w:rsidR="00A176F4">
        <w:t xml:space="preserve"> VSAT, which could be stationary, nomadic or moving. </w:t>
      </w:r>
      <w:r w:rsidR="002F2D43">
        <w:t xml:space="preserve">These </w:t>
      </w:r>
      <w:r w:rsidR="007A1F07">
        <w:t>VSAT related</w:t>
      </w:r>
      <w:r w:rsidR="002F2D43">
        <w:t xml:space="preserve"> </w:t>
      </w:r>
      <w:r w:rsidR="00B420F4">
        <w:t>use cases are</w:t>
      </w:r>
      <w:r w:rsidR="002F2D43">
        <w:t xml:space="preserve"> relevant also for 6G and can be </w:t>
      </w:r>
      <w:r w:rsidR="00964215">
        <w:t>built</w:t>
      </w:r>
      <w:r w:rsidR="002F2D43">
        <w:t xml:space="preserve"> as part of </w:t>
      </w:r>
      <w:r w:rsidR="006E44FE">
        <w:t xml:space="preserve">a </w:t>
      </w:r>
      <w:r w:rsidR="00F563B5">
        <w:t>TN</w:t>
      </w:r>
      <w:r w:rsidR="006E44FE">
        <w:t xml:space="preserve"> </w:t>
      </w:r>
      <w:r w:rsidR="00101816">
        <w:t>device family for</w:t>
      </w:r>
      <w:r w:rsidR="006E44FE">
        <w:t xml:space="preserve"> fixed wireless access </w:t>
      </w:r>
      <w:r w:rsidR="00D72B50">
        <w:t>(FWA), or customer premise equipment</w:t>
      </w:r>
      <w:r w:rsidR="005D2209">
        <w:t xml:space="preserve"> (CPE)</w:t>
      </w:r>
      <w:r w:rsidR="00101816">
        <w:t>.</w:t>
      </w:r>
    </w:p>
    <w:p w14:paraId="53A263C1" w14:textId="425E4E6D" w:rsidR="000A4CE6" w:rsidRPr="00F909CF" w:rsidRDefault="00F8342A" w:rsidP="000B41FE">
      <w:r>
        <w:rPr>
          <w:b/>
          <w:bCs/>
        </w:rPr>
        <w:t xml:space="preserve">Observation </w:t>
      </w:r>
      <w:r w:rsidR="000A4CE6">
        <w:rPr>
          <w:b/>
          <w:bCs/>
        </w:rPr>
        <w:t>1:</w:t>
      </w:r>
      <w:r w:rsidR="000A4CE6">
        <w:t xml:space="preserve"> Integration of </w:t>
      </w:r>
      <w:r w:rsidR="006D68CE">
        <w:t xml:space="preserve">the </w:t>
      </w:r>
      <w:r w:rsidR="000A4CE6">
        <w:t xml:space="preserve">NTN </w:t>
      </w:r>
      <w:r w:rsidR="00C66A47">
        <w:t xml:space="preserve">device </w:t>
      </w:r>
      <w:r w:rsidR="006D68CE">
        <w:t>class</w:t>
      </w:r>
      <w:r w:rsidR="000A4CE6">
        <w:t xml:space="preserve"> for VSAT should be harmonized as a part of FWA</w:t>
      </w:r>
      <w:r w:rsidR="00B420F4">
        <w:t>/CPE</w:t>
      </w:r>
      <w:r w:rsidR="000A4CE6">
        <w:t xml:space="preserve"> </w:t>
      </w:r>
      <w:r w:rsidR="006E57E2">
        <w:t xml:space="preserve">device </w:t>
      </w:r>
      <w:r w:rsidR="006D68CE">
        <w:t>class</w:t>
      </w:r>
      <w:r w:rsidR="000A4CE6">
        <w:t>.</w:t>
      </w:r>
    </w:p>
    <w:p w14:paraId="59B3C7C6" w14:textId="2C9A0487" w:rsidR="00F8342A" w:rsidRDefault="007F3D3A" w:rsidP="000B41FE">
      <w:pPr>
        <w:rPr>
          <w:b/>
          <w:bCs/>
        </w:rPr>
      </w:pPr>
      <w:r>
        <w:rPr>
          <w:b/>
          <w:bCs/>
        </w:rPr>
        <w:t>Proposal</w:t>
      </w:r>
      <w:r w:rsidR="00F8342A">
        <w:rPr>
          <w:b/>
          <w:bCs/>
        </w:rPr>
        <w:t xml:space="preserve"> </w:t>
      </w:r>
      <w:r w:rsidR="000A4CE6">
        <w:rPr>
          <w:b/>
          <w:bCs/>
        </w:rPr>
        <w:t>1</w:t>
      </w:r>
      <w:r w:rsidR="00F8342A">
        <w:rPr>
          <w:b/>
          <w:bCs/>
        </w:rPr>
        <w:t xml:space="preserve">: </w:t>
      </w:r>
      <w:r w:rsidR="00F8342A" w:rsidRPr="00F909CF">
        <w:t xml:space="preserve">NTN </w:t>
      </w:r>
      <w:r w:rsidR="00E75EBE">
        <w:t>should be considered in all 6G device families</w:t>
      </w:r>
      <w:r w:rsidR="006B43C9">
        <w:t>.</w:t>
      </w:r>
    </w:p>
    <w:p w14:paraId="73720F26" w14:textId="4682161D" w:rsidR="009D14CF" w:rsidRPr="0083006F" w:rsidRDefault="009B15CA" w:rsidP="005E0580">
      <w:pPr>
        <w:pStyle w:val="Heading2"/>
      </w:pPr>
      <w:r>
        <w:t>2.1</w:t>
      </w:r>
      <w:r>
        <w:tab/>
      </w:r>
      <w:r w:rsidR="00435840">
        <w:t>Essential</w:t>
      </w:r>
      <w:r w:rsidR="00E6454F">
        <w:t xml:space="preserve"> </w:t>
      </w:r>
      <w:r w:rsidR="00E72A94">
        <w:t xml:space="preserve">requirements </w:t>
      </w:r>
      <w:r w:rsidR="00E6454F">
        <w:t>for day-1</w:t>
      </w:r>
    </w:p>
    <w:p w14:paraId="6F50D182" w14:textId="489A6F04" w:rsidR="00D4247C" w:rsidRDefault="00077BFA" w:rsidP="007B1706">
      <w:pPr>
        <w:jc w:val="both"/>
      </w:pPr>
      <w:r>
        <w:t xml:space="preserve">One of the largest differences between terrestrial and non-terrestrial networks is </w:t>
      </w:r>
      <w:r w:rsidR="002840BB">
        <w:t xml:space="preserve">the fact that </w:t>
      </w:r>
      <w:r w:rsidR="00FE1F3B">
        <w:t xml:space="preserve">in </w:t>
      </w:r>
      <w:r w:rsidR="00E6523C">
        <w:t>non-terrestrial</w:t>
      </w:r>
      <w:r w:rsidR="00FE1F3B">
        <w:t xml:space="preserve"> networks the network nodes move</w:t>
      </w:r>
      <w:r w:rsidR="00891832">
        <w:t xml:space="preserve"> and </w:t>
      </w:r>
      <w:proofErr w:type="gramStart"/>
      <w:r w:rsidR="00891832">
        <w:t>not only the</w:t>
      </w:r>
      <w:proofErr w:type="gramEnd"/>
      <w:r w:rsidR="00891832">
        <w:t xml:space="preserve"> UEs</w:t>
      </w:r>
      <w:r w:rsidR="00FE1F3B">
        <w:t xml:space="preserve">. That makes that </w:t>
      </w:r>
      <w:r w:rsidR="00AA6CD9">
        <w:t>synchronisation in NTN</w:t>
      </w:r>
      <w:r w:rsidR="00AA6CD9" w:rsidDel="002030B3">
        <w:t xml:space="preserve"> </w:t>
      </w:r>
      <w:r w:rsidR="00AA6CD9">
        <w:t>essential for aligning the timing and frequency between UE and moving satellite nodes. Unlike terrestrial networks, NTNs must address</w:t>
      </w:r>
      <w:r w:rsidR="00AA6CD9" w:rsidDel="002C5BB2">
        <w:t xml:space="preserve"> </w:t>
      </w:r>
      <w:r w:rsidR="00AA6CD9">
        <w:t xml:space="preserve">significant </w:t>
      </w:r>
      <w:r w:rsidR="00AA002E">
        <w:t>d</w:t>
      </w:r>
      <w:r w:rsidR="00AA6CD9">
        <w:t>oppler shifts</w:t>
      </w:r>
      <w:r w:rsidR="00AA002E">
        <w:t>,</w:t>
      </w:r>
      <w:r w:rsidR="00AA6CD9">
        <w:t xml:space="preserve"> varying propagation delays</w:t>
      </w:r>
      <w:r w:rsidR="00AA002E">
        <w:t>, and frequent handovers/cell changes</w:t>
      </w:r>
      <w:r w:rsidR="00C64DBD">
        <w:t xml:space="preserve"> introduced by the high-speed movement of satellites</w:t>
      </w:r>
      <w:r w:rsidR="00AA6CD9">
        <w:t>.</w:t>
      </w:r>
      <w:r w:rsidR="00DC4F04">
        <w:t xml:space="preserve"> </w:t>
      </w:r>
    </w:p>
    <w:p w14:paraId="425A89A6" w14:textId="126B04E2" w:rsidR="00D4247C" w:rsidRPr="00646819" w:rsidRDefault="00D4247C" w:rsidP="00D4247C">
      <w:r w:rsidRPr="007377DE">
        <w:rPr>
          <w:lang w:val="en-US"/>
        </w:rPr>
        <w:t>In 5G, NTN is relying on GNSS, and the UE is aware of its own position</w:t>
      </w:r>
      <w:r w:rsidRPr="007377DE" w:rsidDel="001313C9">
        <w:rPr>
          <w:lang w:val="en-US"/>
        </w:rPr>
        <w:t>.</w:t>
      </w:r>
      <w:r w:rsidR="00F750DD">
        <w:rPr>
          <w:lang w:val="en-US"/>
        </w:rPr>
        <w:t xml:space="preserve"> Using this information, and information about the ephemeris of the satellite, the UEs are able to pre-compensate both the propagation delay and the Doppler shift. </w:t>
      </w:r>
      <w:r w:rsidRPr="007377DE">
        <w:rPr>
          <w:lang w:val="en-US"/>
        </w:rPr>
        <w:t>This is used for instance for initial access, mobility procedures and PLMN selection. As GNSS can be spoofed, jammed or unavailable due to radio conditions, this makes the system vulnerable. Furthermore, the GNSS module also adds cost, power consumption and complexity to the UE. Therefore</w:t>
      </w:r>
      <w:r w:rsidR="00631A11">
        <w:rPr>
          <w:lang w:val="en-US"/>
        </w:rPr>
        <w:t>,</w:t>
      </w:r>
      <w:r w:rsidRPr="007377DE">
        <w:rPr>
          <w:lang w:val="en-US"/>
        </w:rPr>
        <w:t xml:space="preserve"> the 6G NTN system should be able to function without the need for the UE to have GNSS capability.</w:t>
      </w:r>
      <w:r w:rsidR="008747E6">
        <w:rPr>
          <w:lang w:val="en-US"/>
        </w:rPr>
        <w:t xml:space="preserve"> </w:t>
      </w:r>
      <w:r w:rsidR="008747E6">
        <w:t xml:space="preserve">It is expected that RAN1 is studying this and will provide a synchronisation </w:t>
      </w:r>
      <w:r w:rsidR="008747E6">
        <w:lastRenderedPageBreak/>
        <w:t>solution to this issue. Note that synchronisation must also support seamless mobility, including handovers between terrestrial and non-terrestrial networks (TN-NTN) and across multiple satellite orbits.</w:t>
      </w:r>
    </w:p>
    <w:p w14:paraId="265F806B" w14:textId="2EA7110B" w:rsidR="00D4247C" w:rsidRDefault="00D4247C" w:rsidP="00D4247C">
      <w:r>
        <w:rPr>
          <w:b/>
          <w:bCs/>
        </w:rPr>
        <w:t xml:space="preserve">Observation </w:t>
      </w:r>
      <w:r w:rsidR="008747E6">
        <w:rPr>
          <w:b/>
          <w:bCs/>
        </w:rPr>
        <w:t>2</w:t>
      </w:r>
      <w:r w:rsidRPr="007F60DC">
        <w:rPr>
          <w:b/>
          <w:bCs/>
        </w:rPr>
        <w:t xml:space="preserve">: </w:t>
      </w:r>
      <w:proofErr w:type="gramStart"/>
      <w:r w:rsidRPr="00271F81">
        <w:t>In order to</w:t>
      </w:r>
      <w:proofErr w:type="gramEnd"/>
      <w:r>
        <w:t xml:space="preserve"> ensure harmonization, </w:t>
      </w:r>
      <w:r w:rsidRPr="00781B1A">
        <w:t>RAN2</w:t>
      </w:r>
      <w:r>
        <w:t>’s design can assume at least that the UE is able to pre-compensate. Further considerations can be discussed after RAN1 progress.</w:t>
      </w:r>
    </w:p>
    <w:p w14:paraId="38CE5DEA" w14:textId="2BAC7208" w:rsidR="00D4247C" w:rsidRDefault="00D4247C" w:rsidP="00D4247C">
      <w:r>
        <w:t xml:space="preserve">However, although RAN1 studies this, RAN2 are the working groups considering handover and other items, which may use location such as conditional handover. As this does require a certain level of location accuracy, RAN2 should study </w:t>
      </w:r>
      <w:r w:rsidR="00C6678D">
        <w:t xml:space="preserve">the requirements as these are related to RAN2 </w:t>
      </w:r>
      <w:proofErr w:type="gramStart"/>
      <w:r w:rsidR="00C6678D">
        <w:t>procedures.</w:t>
      </w:r>
      <w:r>
        <w:t>.</w:t>
      </w:r>
      <w:proofErr w:type="gramEnd"/>
    </w:p>
    <w:p w14:paraId="368123FD" w14:textId="53F5AB54" w:rsidR="009223E2" w:rsidRPr="00077BFA" w:rsidRDefault="00D4247C" w:rsidP="009223E2">
      <w:pPr>
        <w:jc w:val="both"/>
      </w:pPr>
      <w:r w:rsidRPr="007F60DC">
        <w:rPr>
          <w:b/>
          <w:bCs/>
        </w:rPr>
        <w:t xml:space="preserve">Proposal </w:t>
      </w:r>
      <w:r w:rsidR="008747E6">
        <w:rPr>
          <w:b/>
          <w:bCs/>
        </w:rPr>
        <w:t>2</w:t>
      </w:r>
      <w:r w:rsidRPr="007F60DC">
        <w:rPr>
          <w:b/>
          <w:bCs/>
        </w:rPr>
        <w:t xml:space="preserve">: </w:t>
      </w:r>
      <w:r>
        <w:t>RAN2 to study what location requirements are needed for location-based procedures.</w:t>
      </w:r>
    </w:p>
    <w:p w14:paraId="518A0CB4" w14:textId="79303BA6" w:rsidR="00D85F5A" w:rsidRDefault="26D2E099" w:rsidP="007B1706">
      <w:pPr>
        <w:spacing w:line="259" w:lineRule="auto"/>
        <w:jc w:val="both"/>
      </w:pPr>
      <w:r w:rsidRPr="007B1706">
        <w:t>Apart from the fact that the network nodes are moving in NTN networks, the</w:t>
      </w:r>
      <w:r w:rsidR="00676A94">
        <w:t xml:space="preserve"> physical</w:t>
      </w:r>
      <w:r w:rsidRPr="007B1706">
        <w:t xml:space="preserve"> distance between the</w:t>
      </w:r>
      <w:r w:rsidR="3F5084F5" w:rsidRPr="7A52A43E">
        <w:t>se</w:t>
      </w:r>
      <w:r w:rsidRPr="007B1706">
        <w:t xml:space="preserve"> network nodes and the users</w:t>
      </w:r>
      <w:r w:rsidR="00676A94">
        <w:t xml:space="preserve"> </w:t>
      </w:r>
      <w:r w:rsidR="002C466D">
        <w:t xml:space="preserve">is another key difference between NTN and TN, </w:t>
      </w:r>
      <w:r w:rsidR="00790D5D">
        <w:t>as in TN</w:t>
      </w:r>
      <w:r w:rsidRPr="007B1706">
        <w:t xml:space="preserve"> the users are separated from the gNB by </w:t>
      </w:r>
      <w:r w:rsidR="00FA7C46">
        <w:rPr>
          <w:lang w:val="en-US" w:eastAsia="ja-JP"/>
        </w:rPr>
        <w:t xml:space="preserve">a few </w:t>
      </w:r>
      <w:r w:rsidRPr="007B1706">
        <w:t xml:space="preserve">hundreds </w:t>
      </w:r>
      <w:r w:rsidR="00FA7C46">
        <w:t xml:space="preserve">or thousands </w:t>
      </w:r>
      <w:r w:rsidRPr="007B1706">
        <w:t>of meters, while in NTN the users might be hundreds to thousands of kilometres apart from the gNB. Therefore, the propagation delay in NTN is very long when compared to terrestrial networks.</w:t>
      </w:r>
      <w:r w:rsidR="00444A87">
        <w:t xml:space="preserve"> </w:t>
      </w:r>
      <w:r w:rsidR="005A05EB">
        <w:t xml:space="preserve">Even the propagation delay between </w:t>
      </w:r>
      <w:r w:rsidR="00831931">
        <w:t>neighbo</w:t>
      </w:r>
      <w:r w:rsidR="000B6E2E">
        <w:t>u</w:t>
      </w:r>
      <w:r w:rsidR="00831931">
        <w:t xml:space="preserve">r cells may be different if those cells are </w:t>
      </w:r>
      <w:r w:rsidR="005F1034">
        <w:t>from</w:t>
      </w:r>
      <w:r w:rsidR="000B6E2E">
        <w:t xml:space="preserve"> different satellites. </w:t>
      </w:r>
      <w:r w:rsidR="16E1CD0F">
        <w:t xml:space="preserve"> </w:t>
      </w:r>
      <w:r w:rsidR="005A05EB">
        <w:t>Finally, i</w:t>
      </w:r>
      <w:r w:rsidRPr="007B1706">
        <w:t xml:space="preserve">n </w:t>
      </w:r>
      <w:r w:rsidR="5E9DE8B1">
        <w:t>TN</w:t>
      </w:r>
      <w:r w:rsidRPr="007B1706">
        <w:t xml:space="preserve">, the network can take advantage of the near-far effect when configuring and triggering mobility to other network nodes. In NTN, all users are so distant from the network nodes that the received power </w:t>
      </w:r>
      <w:r w:rsidR="00873CAD">
        <w:t xml:space="preserve">from the gNB </w:t>
      </w:r>
      <w:r w:rsidRPr="007B1706">
        <w:t>is very similar</w:t>
      </w:r>
      <w:r w:rsidR="00994DE0">
        <w:t xml:space="preserve"> among them</w:t>
      </w:r>
      <w:r w:rsidRPr="007B1706">
        <w:t xml:space="preserve">, making it harder to distinguish between users in the </w:t>
      </w:r>
      <w:r w:rsidR="00816F52">
        <w:t xml:space="preserve">cell </w:t>
      </w:r>
      <w:r w:rsidR="004D1262">
        <w:t>centre</w:t>
      </w:r>
      <w:r w:rsidR="00816F52">
        <w:t xml:space="preserve"> or at the cell edge only based on the radio measurements.</w:t>
      </w:r>
    </w:p>
    <w:p w14:paraId="787FC2A4" w14:textId="53D2D7AD" w:rsidR="0066723D" w:rsidRPr="00D12A1C" w:rsidRDefault="0066723D" w:rsidP="007B1706">
      <w:pPr>
        <w:spacing w:line="259" w:lineRule="auto"/>
        <w:jc w:val="both"/>
        <w:rPr>
          <w:b/>
        </w:rPr>
      </w:pPr>
      <w:r w:rsidRPr="00D12A1C">
        <w:rPr>
          <w:b/>
        </w:rPr>
        <w:t xml:space="preserve">Observation 3: </w:t>
      </w:r>
      <w:r w:rsidR="00DB7D18" w:rsidRPr="00D12A1C">
        <w:t xml:space="preserve">Another difference between TN and NTN is the </w:t>
      </w:r>
      <w:r w:rsidR="00211821" w:rsidRPr="00D12A1C">
        <w:t>distance between users and gNB of hundreds to thousands of kilometres, causing huge propagation delays compared to TN.</w:t>
      </w:r>
    </w:p>
    <w:p w14:paraId="43E69297" w14:textId="3B677453" w:rsidR="00DE5386" w:rsidRDefault="00DE5386" w:rsidP="7A52A43E">
      <w:pPr>
        <w:spacing w:line="259" w:lineRule="auto"/>
        <w:jc w:val="both"/>
      </w:pPr>
      <w:r>
        <w:t>Due to the above</w:t>
      </w:r>
      <w:r w:rsidR="00CC0124">
        <w:t xml:space="preserve"> characteristics, Rel-17 </w:t>
      </w:r>
      <w:r w:rsidR="002F1C85">
        <w:t>address</w:t>
      </w:r>
      <w:r w:rsidR="007A34F0">
        <w:t xml:space="preserve">ed first of all HARQ stalling caused by RTT times significantly exceeding </w:t>
      </w:r>
      <w:r w:rsidR="00AD2552">
        <w:t>what could be supported by a reasonable number of HARQ processes,</w:t>
      </w:r>
      <w:r w:rsidR="00D2483C">
        <w:t xml:space="preserve"> at least for GEO satellites</w:t>
      </w:r>
      <w:r w:rsidR="00AB2341">
        <w:t xml:space="preserve"> for</w:t>
      </w:r>
      <w:r w:rsidR="00AD2552">
        <w:t xml:space="preserve"> which</w:t>
      </w:r>
      <w:r w:rsidR="00AB2341">
        <w:t xml:space="preserve"> it</w:t>
      </w:r>
      <w:r w:rsidR="00AD2552">
        <w:t xml:space="preserve"> would be in the hundredths.</w:t>
      </w:r>
      <w:r w:rsidR="00AF7BCE">
        <w:t xml:space="preserve"> Secondly, as mentioned above, methods and procedures were added to account for </w:t>
      </w:r>
      <w:r w:rsidR="0087135E">
        <w:t xml:space="preserve">the satellite moving </w:t>
      </w:r>
      <w:r w:rsidR="00B919CE">
        <w:t xml:space="preserve">i.e. relying on GNSS </w:t>
      </w:r>
      <w:r w:rsidR="00994D0C">
        <w:t xml:space="preserve">coupled with relevant information i.e. </w:t>
      </w:r>
      <w:r w:rsidR="00B919CE">
        <w:t>ephemeris information in an NTN specific SIB19</w:t>
      </w:r>
      <w:r w:rsidR="00497DB4">
        <w:t xml:space="preserve">. Such information also enabled the UE to execute handovers </w:t>
      </w:r>
      <w:r w:rsidR="00846C55">
        <w:t xml:space="preserve">between </w:t>
      </w:r>
      <w:r w:rsidR="002A5127">
        <w:t xml:space="preserve">both NTN satellites, cells, and even TN to NTN </w:t>
      </w:r>
      <w:r w:rsidR="000E7D4C">
        <w:t>handovers. Lastly, a framework was added to account for additional complexity while performing measurements of moving no</w:t>
      </w:r>
      <w:r w:rsidR="0065250B">
        <w:t>d</w:t>
      </w:r>
      <w:r w:rsidR="000E7D4C">
        <w:t>e</w:t>
      </w:r>
      <w:r w:rsidR="0065250B">
        <w:t xml:space="preserve">s, </w:t>
      </w:r>
      <w:r w:rsidR="00FC4DAC">
        <w:t xml:space="preserve">and of nodes with </w:t>
      </w:r>
      <w:r w:rsidR="0079501B">
        <w:t>different propagation delays.</w:t>
      </w:r>
    </w:p>
    <w:p w14:paraId="60F6A230" w14:textId="74FB99E0" w:rsidR="00A14DE4" w:rsidRDefault="00A14DE4" w:rsidP="7A52A43E">
      <w:pPr>
        <w:spacing w:line="259" w:lineRule="auto"/>
        <w:jc w:val="both"/>
      </w:pPr>
      <w:r>
        <w:t>Since the</w:t>
      </w:r>
      <w:r w:rsidR="00D24A17">
        <w:t xml:space="preserve"> above limita</w:t>
      </w:r>
      <w:r w:rsidR="00953202">
        <w:t>tions are still valid</w:t>
      </w:r>
      <w:r w:rsidR="00D1146B">
        <w:t xml:space="preserve">, the </w:t>
      </w:r>
      <w:r w:rsidR="009C263D">
        <w:t xml:space="preserve">initial considerations for </w:t>
      </w:r>
      <w:r w:rsidR="00EE25E3">
        <w:t xml:space="preserve">5G </w:t>
      </w:r>
      <w:r w:rsidR="009C263D">
        <w:t xml:space="preserve">NTN </w:t>
      </w:r>
      <w:r w:rsidR="00EE25E3">
        <w:t>are</w:t>
      </w:r>
      <w:r w:rsidR="009C263D">
        <w:t xml:space="preserve"> a good starting point</w:t>
      </w:r>
      <w:r w:rsidR="00454A4E">
        <w:t xml:space="preserve"> for 6G NTN as well.</w:t>
      </w:r>
    </w:p>
    <w:p w14:paraId="1275E234" w14:textId="1DC37D93" w:rsidR="7A52A43E" w:rsidRDefault="00DE5386" w:rsidP="7A52A43E">
      <w:pPr>
        <w:jc w:val="both"/>
      </w:pPr>
      <w:r w:rsidRPr="00F909CF">
        <w:rPr>
          <w:b/>
          <w:bCs/>
        </w:rPr>
        <w:t xml:space="preserve">Observation </w:t>
      </w:r>
      <w:r w:rsidR="00051B53">
        <w:rPr>
          <w:b/>
          <w:bCs/>
        </w:rPr>
        <w:t>4</w:t>
      </w:r>
      <w:r w:rsidRPr="00F909CF">
        <w:rPr>
          <w:b/>
          <w:bCs/>
        </w:rPr>
        <w:t>:</w:t>
      </w:r>
      <w:r>
        <w:t xml:space="preserve"> </w:t>
      </w:r>
      <w:r w:rsidR="00454A4E">
        <w:t xml:space="preserve">6G NTN </w:t>
      </w:r>
      <w:r w:rsidR="00BC0F05">
        <w:t xml:space="preserve">base requirements may be based on </w:t>
      </w:r>
      <w:r w:rsidR="00A81B6F">
        <w:t>the</w:t>
      </w:r>
      <w:r w:rsidR="00923111">
        <w:t xml:space="preserve"> </w:t>
      </w:r>
      <w:r w:rsidR="00BC0F05">
        <w:t>Rel-17 NR NTN</w:t>
      </w:r>
      <w:r w:rsidR="00923111">
        <w:t xml:space="preserve"> </w:t>
      </w:r>
      <w:r w:rsidR="00A81B6F">
        <w:t xml:space="preserve">requirements </w:t>
      </w:r>
      <w:r w:rsidR="00923111">
        <w:t>and learnings from 5G NTN topics</w:t>
      </w:r>
    </w:p>
    <w:p w14:paraId="052B0D18" w14:textId="6FB522AD" w:rsidR="00CF47B7" w:rsidRDefault="00E276F9" w:rsidP="00514772">
      <w:r>
        <w:rPr>
          <w:b/>
          <w:bCs/>
        </w:rPr>
        <w:t>Proposal</w:t>
      </w:r>
      <w:r w:rsidR="003C2630" w:rsidRPr="00B5749B">
        <w:rPr>
          <w:b/>
          <w:bCs/>
        </w:rPr>
        <w:t xml:space="preserve"> </w:t>
      </w:r>
      <w:r w:rsidR="00051B53">
        <w:rPr>
          <w:b/>
          <w:bCs/>
        </w:rPr>
        <w:t>3</w:t>
      </w:r>
      <w:r w:rsidR="003C2630" w:rsidRPr="00B5749B">
        <w:rPr>
          <w:b/>
          <w:bCs/>
        </w:rPr>
        <w:t>:</w:t>
      </w:r>
      <w:r w:rsidR="003C2630">
        <w:t xml:space="preserve"> RAN2 to </w:t>
      </w:r>
      <w:r w:rsidR="00E72047">
        <w:t>study</w:t>
      </w:r>
      <w:r w:rsidR="003C2630">
        <w:t xml:space="preserve"> the following </w:t>
      </w:r>
      <w:r w:rsidR="00133B21">
        <w:t xml:space="preserve">essential </w:t>
      </w:r>
      <w:r w:rsidR="00FD180C">
        <w:t xml:space="preserve">aspects </w:t>
      </w:r>
      <w:r w:rsidR="0012578A">
        <w:t>for</w:t>
      </w:r>
      <w:r w:rsidR="00307CF9">
        <w:t xml:space="preserve"> </w:t>
      </w:r>
      <w:r w:rsidR="0028319D">
        <w:t>NT</w:t>
      </w:r>
      <w:r w:rsidR="0012578A">
        <w:t>N</w:t>
      </w:r>
      <w:r w:rsidR="00A40067">
        <w:t xml:space="preserve"> for day-</w:t>
      </w:r>
      <w:proofErr w:type="gramStart"/>
      <w:r w:rsidR="00A40067">
        <w:t>1</w:t>
      </w:r>
      <w:r w:rsidR="00CF47B7">
        <w:t>;</w:t>
      </w:r>
      <w:proofErr w:type="gramEnd"/>
    </w:p>
    <w:p w14:paraId="25C3D932" w14:textId="6E08EE23" w:rsidR="00CF47B7" w:rsidRDefault="001D0BF2" w:rsidP="00CF47B7">
      <w:pPr>
        <w:pStyle w:val="ListParagraph"/>
        <w:numPr>
          <w:ilvl w:val="0"/>
          <w:numId w:val="21"/>
        </w:numPr>
      </w:pPr>
      <w:r>
        <w:t xml:space="preserve">Addressing long </w:t>
      </w:r>
      <w:r w:rsidR="00114617">
        <w:t>and varying</w:t>
      </w:r>
      <w:r>
        <w:t xml:space="preserve"> RTT </w:t>
      </w:r>
      <w:proofErr w:type="gramStart"/>
      <w:r>
        <w:t>times</w:t>
      </w:r>
      <w:r w:rsidR="00114617">
        <w:t xml:space="preserve"> </w:t>
      </w:r>
      <w:r w:rsidR="00CF47B7" w:rsidRPr="00CF47B7">
        <w:t>,</w:t>
      </w:r>
      <w:proofErr w:type="gramEnd"/>
    </w:p>
    <w:p w14:paraId="718DDC3C" w14:textId="67A49EF6" w:rsidR="00514772" w:rsidRDefault="002D2B73" w:rsidP="00CF47B7">
      <w:pPr>
        <w:pStyle w:val="ListParagraph"/>
        <w:numPr>
          <w:ilvl w:val="0"/>
          <w:numId w:val="21"/>
        </w:numPr>
      </w:pPr>
      <w:r>
        <w:t xml:space="preserve">Synchronisation </w:t>
      </w:r>
      <w:r w:rsidR="00FF4C07">
        <w:t xml:space="preserve">to </w:t>
      </w:r>
      <w:r w:rsidR="00077BFA">
        <w:t>moving satellite Nodes</w:t>
      </w:r>
      <w:r>
        <w:t>,</w:t>
      </w:r>
    </w:p>
    <w:p w14:paraId="423A48CB" w14:textId="4AA93BB4" w:rsidR="00D85D2F" w:rsidRDefault="00D85D2F" w:rsidP="00D85D2F">
      <w:pPr>
        <w:pStyle w:val="ListParagraph"/>
        <w:numPr>
          <w:ilvl w:val="0"/>
          <w:numId w:val="21"/>
        </w:numPr>
      </w:pPr>
      <w:r>
        <w:t>Mobility enhancements</w:t>
      </w:r>
      <w:r w:rsidR="00990DE1">
        <w:t>, including TN-NTN and multi-orbit</w:t>
      </w:r>
      <w:r w:rsidR="00A40067">
        <w:t>,</w:t>
      </w:r>
    </w:p>
    <w:p w14:paraId="79B016E3" w14:textId="31733316" w:rsidR="00DA70AF" w:rsidRDefault="000F7F13" w:rsidP="00D85D2F">
      <w:pPr>
        <w:pStyle w:val="ListParagraph"/>
        <w:numPr>
          <w:ilvl w:val="0"/>
          <w:numId w:val="21"/>
        </w:numPr>
      </w:pPr>
      <w:r>
        <w:t>Measureme</w:t>
      </w:r>
      <w:r w:rsidR="008C4362">
        <w:t>nt</w:t>
      </w:r>
      <w:r w:rsidR="001A76E9">
        <w:t xml:space="preserve"> framework addressing moving no</w:t>
      </w:r>
      <w:r w:rsidR="00010287">
        <w:t>d</w:t>
      </w:r>
      <w:r w:rsidR="001A76E9">
        <w:t>es</w:t>
      </w:r>
      <w:r w:rsidR="005B3C5D">
        <w:t xml:space="preserve"> and larger propagation delays</w:t>
      </w:r>
    </w:p>
    <w:p w14:paraId="5FC146F9" w14:textId="5BD8AADE" w:rsidR="007776EC" w:rsidRPr="00CF3ACE" w:rsidRDefault="007776EC" w:rsidP="007776EC">
      <w:pPr>
        <w:pStyle w:val="Heading2"/>
      </w:pPr>
      <w:r>
        <w:t>2.</w:t>
      </w:r>
      <w:r w:rsidR="00197EA3">
        <w:t>2</w:t>
      </w:r>
      <w:r>
        <w:tab/>
        <w:t>Common design functionalities with TN</w:t>
      </w:r>
    </w:p>
    <w:p w14:paraId="5BCF29E9" w14:textId="2B4FB566" w:rsidR="00686C9B" w:rsidRDefault="007776EC" w:rsidP="007776EC">
      <w:r w:rsidRPr="00AD3DCF">
        <w:t xml:space="preserve">As </w:t>
      </w:r>
      <w:r w:rsidR="00040C4E">
        <w:t>a</w:t>
      </w:r>
      <w:r>
        <w:t xml:space="preserve"> </w:t>
      </w:r>
      <w:r w:rsidRPr="00AD3DCF">
        <w:t xml:space="preserve">part of the ongoing 6G requirements study in </w:t>
      </w:r>
      <w:hyperlink r:id="rId13" w:history="1">
        <w:r w:rsidRPr="00824766">
          <w:rPr>
            <w:rStyle w:val="Hyperlink"/>
          </w:rPr>
          <w:t>SA1</w:t>
        </w:r>
      </w:hyperlink>
      <w:r w:rsidRPr="00AD3DCF">
        <w:t xml:space="preserve">, several emerging verticals are identified with stringent service continuity and mobility performance demands. Among these, Immersive Media Services for Advanced Air Mobility (AAM) </w:t>
      </w:r>
      <w:r w:rsidRPr="00477008">
        <w:t>which has requirements of 10</w:t>
      </w:r>
      <w:r>
        <w:t xml:space="preserve"> </w:t>
      </w:r>
      <w:proofErr w:type="spellStart"/>
      <w:r w:rsidRPr="00477008">
        <w:t>ms</w:t>
      </w:r>
      <w:proofErr w:type="spellEnd"/>
      <w:r w:rsidRPr="00477008">
        <w:t xml:space="preserve"> </w:t>
      </w:r>
      <w:r>
        <w:t xml:space="preserve">of maximum interruption </w:t>
      </w:r>
      <w:r w:rsidRPr="00477008">
        <w:t>for</w:t>
      </w:r>
      <w:r>
        <w:t xml:space="preserve"> a media service that supports</w:t>
      </w:r>
      <w:r w:rsidRPr="00477008">
        <w:t xml:space="preserve"> 60</w:t>
      </w:r>
      <w:r>
        <w:t xml:space="preserve"> </w:t>
      </w:r>
      <w:r w:rsidRPr="00477008">
        <w:t>fps</w:t>
      </w:r>
      <w:r>
        <w:t xml:space="preserve"> </w:t>
      </w:r>
      <w:r w:rsidRPr="00477008">
        <w:t xml:space="preserve">and dynamic HO between TN and NTN networks, as well as </w:t>
      </w:r>
      <w:r w:rsidRPr="00AD3DCF">
        <w:t>Seamless Immersive Reality in Education</w:t>
      </w:r>
      <w:r w:rsidRPr="00BB667D">
        <w:rPr>
          <w:lang w:val="en-US"/>
        </w:rPr>
        <w:t xml:space="preserve"> </w:t>
      </w:r>
      <w:r w:rsidRPr="00477008">
        <w:t>which requires 50</w:t>
      </w:r>
      <w:r>
        <w:t xml:space="preserve"> </w:t>
      </w:r>
      <w:proofErr w:type="spellStart"/>
      <w:r w:rsidRPr="00477008">
        <w:t>ms</w:t>
      </w:r>
      <w:proofErr w:type="spellEnd"/>
      <w:r w:rsidRPr="00477008">
        <w:t xml:space="preserve"> end-to-end latency, </w:t>
      </w:r>
      <w:r w:rsidRPr="00AD3DCF">
        <w:t xml:space="preserve">are two use cases that impose particularly tight constraints on handover procedures. </w:t>
      </w:r>
    </w:p>
    <w:p w14:paraId="07A2514B" w14:textId="7272737D" w:rsidR="007776EC" w:rsidRDefault="00390B09" w:rsidP="007776EC">
      <w:r>
        <w:t>The</w:t>
      </w:r>
      <w:r w:rsidR="007776EC">
        <w:t xml:space="preserve"> stringent requirements </w:t>
      </w:r>
      <w:r w:rsidR="007776EC" w:rsidRPr="00AD3DCF">
        <w:t>directly drive the need for a careful study on the handover mechanisms in 6G.</w:t>
      </w:r>
      <w:r w:rsidR="007776EC">
        <w:t xml:space="preserve">  In NR NTN the concept of measurement window and timing were re-used to facilitate the measurement of NR NTN cell, albeit with some amendments addressing at least the issue of different propagation delay by satellites i.e. by enabling additional SMTC configurations in smtc4. On top of this, Rel-19 brought enhancements to the framework by significantly extending the measurement periodicity of up to 160 </w:t>
      </w:r>
      <w:proofErr w:type="spellStart"/>
      <w:r w:rsidR="007776EC">
        <w:t>ms</w:t>
      </w:r>
      <w:proofErr w:type="spellEnd"/>
      <w:r w:rsidR="007776EC">
        <w:t xml:space="preserve">, </w:t>
      </w:r>
      <w:r w:rsidR="00D846AD">
        <w:t xml:space="preserve">although up to 640 </w:t>
      </w:r>
      <w:proofErr w:type="spellStart"/>
      <w:r w:rsidR="00D846AD">
        <w:t>ms</w:t>
      </w:r>
      <w:proofErr w:type="spellEnd"/>
      <w:r w:rsidR="00D846AD">
        <w:t xml:space="preserve"> was requested by satellite vendors </w:t>
      </w:r>
      <w:r w:rsidR="007776EC">
        <w:t xml:space="preserve">in RAN1. This change was mainly to account for limited power </w:t>
      </w:r>
      <w:r w:rsidR="00F03AF1">
        <w:t xml:space="preserve">and need for support of a vast (1024) number of cells </w:t>
      </w:r>
      <w:r w:rsidR="007776EC">
        <w:t xml:space="preserve">on the satellite. 6G study mentions gapless measurement concept, which proposing companies considers to reduce interruption time of data. </w:t>
      </w:r>
      <w:r w:rsidR="003A7944">
        <w:t>Even though the</w:t>
      </w:r>
      <w:r w:rsidR="007776EC">
        <w:t xml:space="preserve"> limited cell availability considered in Rel-19 may be a challenge </w:t>
      </w:r>
      <w:r w:rsidR="003A7944">
        <w:t xml:space="preserve">for the design of the system, we still see many common aspects with the discussions of Energy Efficiency in 6G day 1. For </w:t>
      </w:r>
      <w:r w:rsidR="003A7944">
        <w:lastRenderedPageBreak/>
        <w:t xml:space="preserve">example, the extension of the SSB periodicity, </w:t>
      </w:r>
      <w:r w:rsidR="00A038DF">
        <w:t xml:space="preserve">that is being discussed in RAN1 in the 6G study, </w:t>
      </w:r>
      <w:r w:rsidR="003A7944">
        <w:t xml:space="preserve">or the fact that the cell is not available for data transmissions and receptions </w:t>
      </w:r>
      <w:r w:rsidR="009F3969">
        <w:t xml:space="preserve">for a period of time are common between NTN and TN. </w:t>
      </w:r>
    </w:p>
    <w:p w14:paraId="791569EF" w14:textId="2A14B7AB" w:rsidR="007776EC" w:rsidRDefault="007776EC" w:rsidP="007776EC">
      <w:r w:rsidRPr="00646819">
        <w:rPr>
          <w:b/>
          <w:bCs/>
        </w:rPr>
        <w:t xml:space="preserve">Observation </w:t>
      </w:r>
      <w:r w:rsidR="00E96DBF">
        <w:rPr>
          <w:b/>
          <w:bCs/>
        </w:rPr>
        <w:t>5</w:t>
      </w:r>
      <w:r w:rsidRPr="00646819">
        <w:rPr>
          <w:b/>
          <w:bCs/>
        </w:rPr>
        <w:t>:</w:t>
      </w:r>
      <w:r>
        <w:t xml:space="preserve"> The fundamentals behind </w:t>
      </w:r>
      <w:r w:rsidR="00466583">
        <w:t>TN</w:t>
      </w:r>
      <w:r>
        <w:t xml:space="preserve"> 5G measurement framework was reusable for NR NTN, although enhancements were made to accommodate for the additional propagation delay</w:t>
      </w:r>
      <w:r w:rsidR="00F86FFE">
        <w:t xml:space="preserve"> and different delays among </w:t>
      </w:r>
      <w:r w:rsidR="00E842C9">
        <w:t>neighbour</w:t>
      </w:r>
      <w:r w:rsidR="00F86FFE">
        <w:t xml:space="preserve"> cells</w:t>
      </w:r>
      <w:r>
        <w:t>.</w:t>
      </w:r>
    </w:p>
    <w:p w14:paraId="458DDECC" w14:textId="0D87E55C" w:rsidR="007776EC" w:rsidRDefault="007776EC" w:rsidP="007776EC">
      <w:r w:rsidRPr="00646819">
        <w:rPr>
          <w:b/>
          <w:bCs/>
        </w:rPr>
        <w:t xml:space="preserve">Proposal </w:t>
      </w:r>
      <w:r w:rsidR="00E96DBF">
        <w:rPr>
          <w:b/>
          <w:bCs/>
        </w:rPr>
        <w:t>4</w:t>
      </w:r>
      <w:r w:rsidRPr="00646819">
        <w:rPr>
          <w:b/>
          <w:bCs/>
        </w:rPr>
        <w:t>:</w:t>
      </w:r>
      <w:r>
        <w:t xml:space="preserve"> </w:t>
      </w:r>
      <w:r w:rsidR="00B76DAB">
        <w:t xml:space="preserve">6G </w:t>
      </w:r>
      <w:r>
        <w:t xml:space="preserve">NTN </w:t>
      </w:r>
      <w:r w:rsidR="00BA62AB">
        <w:t xml:space="preserve">measurement </w:t>
      </w:r>
      <w:r>
        <w:t xml:space="preserve">framework </w:t>
      </w:r>
      <w:r w:rsidR="00922467">
        <w:t>shall</w:t>
      </w:r>
      <w:r>
        <w:t xml:space="preserve"> be designed with </w:t>
      </w:r>
      <w:r w:rsidR="00B76DAB">
        <w:t xml:space="preserve">6G </w:t>
      </w:r>
      <w:r>
        <w:t>TN as baseline, but configuration should take the extended and varying propagation delay into account</w:t>
      </w:r>
      <w:r w:rsidR="00583BC8">
        <w:t xml:space="preserve"> without increasing the complexity</w:t>
      </w:r>
      <w:r w:rsidR="00593902">
        <w:t xml:space="preserve"> unproportionally</w:t>
      </w:r>
      <w:r>
        <w:t xml:space="preserve">. FFS whether limited availability of cells can be </w:t>
      </w:r>
      <w:r w:rsidR="00F361E6">
        <w:t>harmonized with</w:t>
      </w:r>
      <w:r>
        <w:t xml:space="preserve"> TN </w:t>
      </w:r>
      <w:r w:rsidR="00EA2056">
        <w:t>energy savings</w:t>
      </w:r>
      <w:r>
        <w:t xml:space="preserve"> as well. </w:t>
      </w:r>
    </w:p>
    <w:p w14:paraId="1381ED61" w14:textId="324CDB26" w:rsidR="005376A8" w:rsidRPr="005376A8" w:rsidRDefault="005376A8" w:rsidP="005376A8">
      <w:r w:rsidRPr="005376A8">
        <w:t xml:space="preserve">Another learning from 5G NR is related to the duplexing mode. In TR </w:t>
      </w:r>
      <w:hyperlink r:id="rId14" w:history="1">
        <w:r w:rsidRPr="00FB6F81">
          <w:rPr>
            <w:rStyle w:val="Hyperlink"/>
          </w:rPr>
          <w:t>38.811</w:t>
        </w:r>
      </w:hyperlink>
      <w:r w:rsidRPr="005376A8">
        <w:t xml:space="preserve">, the length of a guard period to accommodate the roundtrip delays on LEO, MEO and GEO satellites has been evaluated, ranging between 14 </w:t>
      </w:r>
      <w:proofErr w:type="spellStart"/>
      <w:r w:rsidRPr="005376A8">
        <w:t>ms</w:t>
      </w:r>
      <w:proofErr w:type="spellEnd"/>
      <w:r w:rsidRPr="005376A8">
        <w:t xml:space="preserve"> for LEO satellites and 540 </w:t>
      </w:r>
      <w:proofErr w:type="spellStart"/>
      <w:r w:rsidRPr="005376A8">
        <w:t>ms</w:t>
      </w:r>
      <w:proofErr w:type="spellEnd"/>
      <w:r w:rsidRPr="005376A8">
        <w:t xml:space="preserve"> for GEO satellites. It </w:t>
      </w:r>
      <w:r w:rsidR="00FB6F81">
        <w:t>was</w:t>
      </w:r>
      <w:r w:rsidRPr="005376A8">
        <w:t xml:space="preserve"> concluded that “such excessive guard time would lead to a very inefficient radio interface specially in GEO or even MEO based access. It may be acceptable in the case of LEO access systems”. Therefore, 5G NTN has only been specified for FDD carriers, while there is only one TDD variant for NTN, which was introduced in Rel-19 for NB-IoT, and significantly change the TDD frame design when compared to the LTE/NR TDD frame, for example, by having a 90ms frame structure, instead of a 10 </w:t>
      </w:r>
      <w:proofErr w:type="spellStart"/>
      <w:r w:rsidRPr="005376A8">
        <w:t>ms</w:t>
      </w:r>
      <w:proofErr w:type="spellEnd"/>
      <w:r w:rsidRPr="005376A8">
        <w:t xml:space="preserve"> frame.</w:t>
      </w:r>
      <w:r w:rsidRPr="005376A8">
        <w:rPr>
          <w:u w:val="single"/>
        </w:rPr>
        <w:t> </w:t>
      </w:r>
      <w:r w:rsidRPr="005376A8">
        <w:t>  </w:t>
      </w:r>
    </w:p>
    <w:p w14:paraId="66FBE213" w14:textId="77777777" w:rsidR="005376A8" w:rsidRPr="00891D03" w:rsidRDefault="005376A8" w:rsidP="005376A8">
      <w:r w:rsidRPr="005376A8">
        <w:t xml:space="preserve">The efficiency for a specific orbit depends on the duration of the DL/UL periods. </w:t>
      </w:r>
      <w:r w:rsidRPr="00D12A1C">
        <w:t>Table 1</w:t>
      </w:r>
      <w:r w:rsidRPr="00891D03">
        <w:t xml:space="preserve"> shows the calculated losses for different cases. An UL/DL period of 20ms, means that a 20 </w:t>
      </w:r>
      <w:proofErr w:type="spellStart"/>
      <w:r w:rsidRPr="00891D03">
        <w:t>ms</w:t>
      </w:r>
      <w:proofErr w:type="spellEnd"/>
      <w:r w:rsidRPr="00891D03">
        <w:t xml:space="preserve"> DL period is followed by a guard band corresponding to the minimum RTT plus the propagation delay difference, followed by an UL period of 20 </w:t>
      </w:r>
      <w:proofErr w:type="spellStart"/>
      <w:r w:rsidRPr="00891D03">
        <w:t>ms</w:t>
      </w:r>
      <w:proofErr w:type="spellEnd"/>
      <w:r w:rsidRPr="00891D03">
        <w:t xml:space="preserve">. In this case, the losses are between 14-23% for 600 km orbit and 19-31% for a 1200 km orbit, as shown in </w:t>
      </w:r>
      <w:r w:rsidRPr="00D12A1C">
        <w:t>Table 1</w:t>
      </w:r>
      <w:r w:rsidRPr="00891D03">
        <w:t>. The UL/DL period has a larger impact than the propagation delay. The period should be much longer than the propagation delay to reduce the loss. However, longer UL/DL periods are clearly beneficial in terms of efficiency but come with the cost of a longer delay between UL and DL. </w:t>
      </w:r>
    </w:p>
    <w:p w14:paraId="681CDDE6" w14:textId="77777777" w:rsidR="005376A8" w:rsidRPr="005376A8" w:rsidRDefault="005376A8" w:rsidP="005376A8">
      <w:pPr>
        <w:rPr>
          <w:b/>
          <w:bCs/>
        </w:rPr>
      </w:pPr>
      <w:r w:rsidRPr="00D12A1C">
        <w:rPr>
          <w:b/>
        </w:rPr>
        <w:t>Table 1</w:t>
      </w:r>
      <w:r w:rsidRPr="00891D03">
        <w:rPr>
          <w:b/>
          <w:bCs/>
        </w:rPr>
        <w:t xml:space="preserve"> Unused time resources (fraction) for different cases for a LEO at 600 and 1200 km for conventional TDD with different UL/DL periods</w:t>
      </w:r>
      <w:r w:rsidRPr="005376A8">
        <w:rPr>
          <w:b/>
          <w:bCs/>
        </w:rP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1350"/>
        <w:gridCol w:w="1335"/>
        <w:gridCol w:w="1140"/>
        <w:gridCol w:w="1140"/>
        <w:gridCol w:w="1140"/>
      </w:tblGrid>
      <w:tr w:rsidR="005376A8" w:rsidRPr="005376A8" w14:paraId="2B16E459" w14:textId="77777777" w:rsidTr="005376A8">
        <w:trPr>
          <w:trHeight w:val="300"/>
        </w:trPr>
        <w:tc>
          <w:tcPr>
            <w:tcW w:w="1080" w:type="dxa"/>
            <w:tcBorders>
              <w:top w:val="single" w:sz="6" w:space="0" w:color="auto"/>
              <w:left w:val="single" w:sz="6" w:space="0" w:color="auto"/>
              <w:bottom w:val="single" w:sz="6" w:space="0" w:color="auto"/>
              <w:right w:val="single" w:sz="6" w:space="0" w:color="auto"/>
            </w:tcBorders>
            <w:hideMark/>
          </w:tcPr>
          <w:p w14:paraId="3679A915" w14:textId="77777777" w:rsidR="005376A8" w:rsidRPr="005376A8" w:rsidRDefault="005376A8" w:rsidP="005376A8">
            <w:r w:rsidRPr="005376A8">
              <w:rPr>
                <w:b/>
                <w:bCs/>
                <w:lang w:val="en-US"/>
              </w:rPr>
              <w:t>Orbit</w:t>
            </w:r>
            <w:r w:rsidRPr="005376A8">
              <w:t> </w:t>
            </w:r>
          </w:p>
        </w:tc>
        <w:tc>
          <w:tcPr>
            <w:tcW w:w="1350" w:type="dxa"/>
            <w:tcBorders>
              <w:top w:val="single" w:sz="6" w:space="0" w:color="auto"/>
              <w:left w:val="single" w:sz="6" w:space="0" w:color="auto"/>
              <w:bottom w:val="single" w:sz="6" w:space="0" w:color="auto"/>
              <w:right w:val="single" w:sz="6" w:space="0" w:color="auto"/>
            </w:tcBorders>
            <w:hideMark/>
          </w:tcPr>
          <w:p w14:paraId="74584D03" w14:textId="77777777" w:rsidR="005376A8" w:rsidRPr="005376A8" w:rsidRDefault="005376A8" w:rsidP="005376A8">
            <w:r w:rsidRPr="005376A8">
              <w:rPr>
                <w:b/>
                <w:bCs/>
                <w:lang w:val="en-US"/>
              </w:rPr>
              <w:t>Coverage per satellite (diameter)</w:t>
            </w:r>
            <w:r w:rsidRPr="005376A8">
              <w:t> </w:t>
            </w:r>
          </w:p>
        </w:tc>
        <w:tc>
          <w:tcPr>
            <w:tcW w:w="1335" w:type="dxa"/>
            <w:tcBorders>
              <w:top w:val="single" w:sz="6" w:space="0" w:color="auto"/>
              <w:left w:val="single" w:sz="6" w:space="0" w:color="auto"/>
              <w:bottom w:val="single" w:sz="6" w:space="0" w:color="auto"/>
              <w:right w:val="single" w:sz="6" w:space="0" w:color="auto"/>
            </w:tcBorders>
            <w:hideMark/>
          </w:tcPr>
          <w:p w14:paraId="7A8F69BE" w14:textId="77777777" w:rsidR="005376A8" w:rsidRPr="005376A8" w:rsidRDefault="005376A8" w:rsidP="005376A8">
            <w:r w:rsidRPr="005376A8">
              <w:rPr>
                <w:b/>
                <w:bCs/>
                <w:lang w:val="en-US"/>
              </w:rPr>
              <w:t>Elevation angle</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6AD88F63" w14:textId="77777777" w:rsidR="005376A8" w:rsidRPr="005376A8" w:rsidRDefault="005376A8" w:rsidP="005376A8">
            <w:r w:rsidRPr="005376A8">
              <w:rPr>
                <w:b/>
                <w:bCs/>
              </w:rPr>
              <w:t xml:space="preserve">UL/DL period = 5 </w:t>
            </w:r>
            <w:proofErr w:type="spellStart"/>
            <w:r w:rsidRPr="005376A8">
              <w:rPr>
                <w:b/>
                <w:bCs/>
              </w:rPr>
              <w:t>ms</w:t>
            </w:r>
            <w:proofErr w:type="spellEnd"/>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1101C26D" w14:textId="77777777" w:rsidR="005376A8" w:rsidRPr="005376A8" w:rsidRDefault="005376A8" w:rsidP="005376A8">
            <w:r w:rsidRPr="005376A8">
              <w:rPr>
                <w:b/>
                <w:bCs/>
              </w:rPr>
              <w:t xml:space="preserve">UL/DL period = 20 </w:t>
            </w:r>
            <w:proofErr w:type="spellStart"/>
            <w:r w:rsidRPr="005376A8">
              <w:rPr>
                <w:b/>
                <w:bCs/>
              </w:rPr>
              <w:t>ms</w:t>
            </w:r>
            <w:proofErr w:type="spellEnd"/>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0B8C9403" w14:textId="77777777" w:rsidR="005376A8" w:rsidRPr="005376A8" w:rsidRDefault="005376A8" w:rsidP="005376A8">
            <w:r w:rsidRPr="005376A8">
              <w:rPr>
                <w:b/>
                <w:bCs/>
              </w:rPr>
              <w:t xml:space="preserve">UL/DL period = 160 </w:t>
            </w:r>
            <w:proofErr w:type="spellStart"/>
            <w:r w:rsidRPr="005376A8">
              <w:rPr>
                <w:b/>
                <w:bCs/>
              </w:rPr>
              <w:t>ms</w:t>
            </w:r>
            <w:proofErr w:type="spellEnd"/>
            <w:r w:rsidRPr="005376A8">
              <w:t> </w:t>
            </w:r>
          </w:p>
        </w:tc>
      </w:tr>
      <w:tr w:rsidR="005376A8" w:rsidRPr="005376A8" w14:paraId="209F19AF" w14:textId="77777777" w:rsidTr="005376A8">
        <w:trPr>
          <w:trHeight w:val="300"/>
        </w:trPr>
        <w:tc>
          <w:tcPr>
            <w:tcW w:w="1080" w:type="dxa"/>
            <w:tcBorders>
              <w:top w:val="single" w:sz="6" w:space="0" w:color="auto"/>
              <w:left w:val="single" w:sz="6" w:space="0" w:color="auto"/>
              <w:bottom w:val="single" w:sz="6" w:space="0" w:color="auto"/>
              <w:right w:val="single" w:sz="6" w:space="0" w:color="auto"/>
            </w:tcBorders>
            <w:hideMark/>
          </w:tcPr>
          <w:p w14:paraId="2842F915" w14:textId="77777777" w:rsidR="005376A8" w:rsidRPr="005376A8" w:rsidRDefault="005376A8" w:rsidP="005376A8">
            <w:r w:rsidRPr="005376A8">
              <w:rPr>
                <w:lang w:val="en-US"/>
              </w:rPr>
              <w:t>600 km</w:t>
            </w:r>
            <w:r w:rsidRPr="005376A8">
              <w:t> </w:t>
            </w:r>
          </w:p>
        </w:tc>
        <w:tc>
          <w:tcPr>
            <w:tcW w:w="1350" w:type="dxa"/>
            <w:tcBorders>
              <w:top w:val="single" w:sz="6" w:space="0" w:color="auto"/>
              <w:left w:val="single" w:sz="6" w:space="0" w:color="auto"/>
              <w:bottom w:val="single" w:sz="6" w:space="0" w:color="auto"/>
              <w:right w:val="single" w:sz="6" w:space="0" w:color="auto"/>
            </w:tcBorders>
            <w:hideMark/>
          </w:tcPr>
          <w:p w14:paraId="2C5A70CC" w14:textId="77777777" w:rsidR="005376A8" w:rsidRPr="005376A8" w:rsidRDefault="005376A8" w:rsidP="005376A8">
            <w:r w:rsidRPr="005376A8">
              <w:rPr>
                <w:lang w:val="en-US"/>
              </w:rPr>
              <w:t>1500 km</w:t>
            </w:r>
            <w:r w:rsidRPr="005376A8">
              <w:t> </w:t>
            </w:r>
          </w:p>
        </w:tc>
        <w:tc>
          <w:tcPr>
            <w:tcW w:w="1335" w:type="dxa"/>
            <w:tcBorders>
              <w:top w:val="single" w:sz="6" w:space="0" w:color="auto"/>
              <w:left w:val="single" w:sz="6" w:space="0" w:color="auto"/>
              <w:bottom w:val="single" w:sz="6" w:space="0" w:color="auto"/>
              <w:right w:val="single" w:sz="6" w:space="0" w:color="auto"/>
            </w:tcBorders>
            <w:hideMark/>
          </w:tcPr>
          <w:p w14:paraId="24A6179B" w14:textId="77777777" w:rsidR="005376A8" w:rsidRPr="005376A8" w:rsidRDefault="005376A8" w:rsidP="005376A8">
            <w:r w:rsidRPr="005376A8">
              <w:rPr>
                <w:lang w:val="en-US"/>
              </w:rPr>
              <w:t>90 deg</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12E45274" w14:textId="77777777" w:rsidR="005376A8" w:rsidRPr="005376A8" w:rsidRDefault="005376A8" w:rsidP="005376A8">
            <w:r w:rsidRPr="005376A8">
              <w:rPr>
                <w:lang w:val="en-US"/>
              </w:rPr>
              <w:t>40%</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5C3BE802" w14:textId="77777777" w:rsidR="005376A8" w:rsidRPr="005376A8" w:rsidRDefault="005376A8" w:rsidP="005376A8">
            <w:r w:rsidRPr="005376A8">
              <w:rPr>
                <w:lang w:val="en-US"/>
              </w:rPr>
              <w:t>14%</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01407397" w14:textId="77777777" w:rsidR="005376A8" w:rsidRPr="005376A8" w:rsidRDefault="005376A8" w:rsidP="005376A8">
            <w:r w:rsidRPr="005376A8">
              <w:rPr>
                <w:lang w:val="en-US"/>
              </w:rPr>
              <w:t>2%</w:t>
            </w:r>
            <w:r w:rsidRPr="005376A8">
              <w:t> </w:t>
            </w:r>
          </w:p>
        </w:tc>
      </w:tr>
      <w:tr w:rsidR="005376A8" w:rsidRPr="005376A8" w14:paraId="22FD889C" w14:textId="77777777" w:rsidTr="005376A8">
        <w:trPr>
          <w:trHeight w:val="300"/>
        </w:trPr>
        <w:tc>
          <w:tcPr>
            <w:tcW w:w="1080" w:type="dxa"/>
            <w:tcBorders>
              <w:top w:val="single" w:sz="6" w:space="0" w:color="auto"/>
              <w:left w:val="single" w:sz="6" w:space="0" w:color="auto"/>
              <w:bottom w:val="single" w:sz="6" w:space="0" w:color="auto"/>
              <w:right w:val="single" w:sz="6" w:space="0" w:color="auto"/>
            </w:tcBorders>
            <w:hideMark/>
          </w:tcPr>
          <w:p w14:paraId="12A92066" w14:textId="77777777" w:rsidR="005376A8" w:rsidRPr="005376A8" w:rsidRDefault="005376A8" w:rsidP="005376A8">
            <w:r w:rsidRPr="005376A8">
              <w:rPr>
                <w:lang w:val="en-US"/>
              </w:rPr>
              <w:t>600 km</w:t>
            </w:r>
            <w:r w:rsidRPr="005376A8">
              <w:t> </w:t>
            </w:r>
          </w:p>
        </w:tc>
        <w:tc>
          <w:tcPr>
            <w:tcW w:w="1350" w:type="dxa"/>
            <w:tcBorders>
              <w:top w:val="single" w:sz="6" w:space="0" w:color="auto"/>
              <w:left w:val="single" w:sz="6" w:space="0" w:color="auto"/>
              <w:bottom w:val="single" w:sz="6" w:space="0" w:color="auto"/>
              <w:right w:val="single" w:sz="6" w:space="0" w:color="auto"/>
            </w:tcBorders>
            <w:hideMark/>
          </w:tcPr>
          <w:p w14:paraId="7D4CB584" w14:textId="77777777" w:rsidR="005376A8" w:rsidRPr="005376A8" w:rsidRDefault="005376A8" w:rsidP="005376A8">
            <w:r w:rsidRPr="005376A8">
              <w:rPr>
                <w:lang w:val="en-US"/>
              </w:rPr>
              <w:t>1500 km</w:t>
            </w:r>
            <w:r w:rsidRPr="005376A8">
              <w:t> </w:t>
            </w:r>
          </w:p>
        </w:tc>
        <w:tc>
          <w:tcPr>
            <w:tcW w:w="1335" w:type="dxa"/>
            <w:tcBorders>
              <w:top w:val="single" w:sz="6" w:space="0" w:color="auto"/>
              <w:left w:val="single" w:sz="6" w:space="0" w:color="auto"/>
              <w:bottom w:val="single" w:sz="6" w:space="0" w:color="auto"/>
              <w:right w:val="single" w:sz="6" w:space="0" w:color="auto"/>
            </w:tcBorders>
            <w:hideMark/>
          </w:tcPr>
          <w:p w14:paraId="02DC83F4" w14:textId="77777777" w:rsidR="005376A8" w:rsidRPr="005376A8" w:rsidRDefault="005376A8" w:rsidP="005376A8">
            <w:r w:rsidRPr="005376A8">
              <w:rPr>
                <w:lang w:val="en-US"/>
              </w:rPr>
              <w:t>30 deg</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60BECE3A" w14:textId="77777777" w:rsidR="005376A8" w:rsidRPr="005376A8" w:rsidRDefault="005376A8" w:rsidP="005376A8">
            <w:r w:rsidRPr="005376A8">
              <w:rPr>
                <w:lang w:val="en-US"/>
              </w:rPr>
              <w:t>54%</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12FA75D2" w14:textId="77777777" w:rsidR="005376A8" w:rsidRPr="005376A8" w:rsidRDefault="005376A8" w:rsidP="005376A8">
            <w:r w:rsidRPr="005376A8">
              <w:rPr>
                <w:lang w:val="en-US"/>
              </w:rPr>
              <w:t>23%</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2D86AF3D" w14:textId="77777777" w:rsidR="005376A8" w:rsidRPr="005376A8" w:rsidRDefault="005376A8" w:rsidP="005376A8">
            <w:r w:rsidRPr="005376A8">
              <w:rPr>
                <w:lang w:val="en-US"/>
              </w:rPr>
              <w:t>4%</w:t>
            </w:r>
            <w:r w:rsidRPr="005376A8">
              <w:t> </w:t>
            </w:r>
          </w:p>
        </w:tc>
      </w:tr>
      <w:tr w:rsidR="005376A8" w:rsidRPr="005376A8" w14:paraId="2B8D9297" w14:textId="77777777" w:rsidTr="005376A8">
        <w:trPr>
          <w:trHeight w:val="300"/>
        </w:trPr>
        <w:tc>
          <w:tcPr>
            <w:tcW w:w="1080" w:type="dxa"/>
            <w:tcBorders>
              <w:top w:val="single" w:sz="6" w:space="0" w:color="auto"/>
              <w:left w:val="single" w:sz="6" w:space="0" w:color="auto"/>
              <w:bottom w:val="single" w:sz="6" w:space="0" w:color="auto"/>
              <w:right w:val="single" w:sz="6" w:space="0" w:color="auto"/>
            </w:tcBorders>
            <w:hideMark/>
          </w:tcPr>
          <w:p w14:paraId="736E8D27" w14:textId="77777777" w:rsidR="005376A8" w:rsidRPr="005376A8" w:rsidRDefault="005376A8" w:rsidP="005376A8">
            <w:r w:rsidRPr="005376A8">
              <w:rPr>
                <w:lang w:val="en-US"/>
              </w:rPr>
              <w:t>1200 km</w:t>
            </w:r>
            <w:r w:rsidRPr="005376A8">
              <w:t> </w:t>
            </w:r>
          </w:p>
        </w:tc>
        <w:tc>
          <w:tcPr>
            <w:tcW w:w="1350" w:type="dxa"/>
            <w:tcBorders>
              <w:top w:val="single" w:sz="6" w:space="0" w:color="auto"/>
              <w:left w:val="single" w:sz="6" w:space="0" w:color="auto"/>
              <w:bottom w:val="single" w:sz="6" w:space="0" w:color="auto"/>
              <w:right w:val="single" w:sz="6" w:space="0" w:color="auto"/>
            </w:tcBorders>
            <w:hideMark/>
          </w:tcPr>
          <w:p w14:paraId="732A121E" w14:textId="77777777" w:rsidR="005376A8" w:rsidRPr="005376A8" w:rsidRDefault="005376A8" w:rsidP="005376A8">
            <w:r w:rsidRPr="005376A8">
              <w:rPr>
                <w:lang w:val="en-US"/>
              </w:rPr>
              <w:t>1500 km</w:t>
            </w:r>
            <w:r w:rsidRPr="005376A8">
              <w:t> </w:t>
            </w:r>
          </w:p>
        </w:tc>
        <w:tc>
          <w:tcPr>
            <w:tcW w:w="1335" w:type="dxa"/>
            <w:tcBorders>
              <w:top w:val="single" w:sz="6" w:space="0" w:color="auto"/>
              <w:left w:val="single" w:sz="6" w:space="0" w:color="auto"/>
              <w:bottom w:val="single" w:sz="6" w:space="0" w:color="auto"/>
              <w:right w:val="single" w:sz="6" w:space="0" w:color="auto"/>
            </w:tcBorders>
            <w:hideMark/>
          </w:tcPr>
          <w:p w14:paraId="3005F9F7" w14:textId="77777777" w:rsidR="005376A8" w:rsidRPr="005376A8" w:rsidRDefault="005376A8" w:rsidP="005376A8">
            <w:r w:rsidRPr="005376A8">
              <w:rPr>
                <w:lang w:val="en-US"/>
              </w:rPr>
              <w:t>90 deg</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70535650" w14:textId="77777777" w:rsidR="005376A8" w:rsidRPr="005376A8" w:rsidRDefault="005376A8" w:rsidP="005376A8">
            <w:r w:rsidRPr="005376A8">
              <w:rPr>
                <w:lang w:val="en-US"/>
              </w:rPr>
              <w:t>49%</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4823363F" w14:textId="77777777" w:rsidR="005376A8" w:rsidRPr="005376A8" w:rsidRDefault="005376A8" w:rsidP="005376A8">
            <w:r w:rsidRPr="005376A8">
              <w:rPr>
                <w:lang w:val="en-US"/>
              </w:rPr>
              <w:t>19%</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09E4DA0B" w14:textId="77777777" w:rsidR="005376A8" w:rsidRPr="005376A8" w:rsidRDefault="005376A8" w:rsidP="005376A8">
            <w:r w:rsidRPr="005376A8">
              <w:rPr>
                <w:lang w:val="en-US"/>
              </w:rPr>
              <w:t>3%</w:t>
            </w:r>
            <w:r w:rsidRPr="005376A8">
              <w:t> </w:t>
            </w:r>
          </w:p>
        </w:tc>
      </w:tr>
      <w:tr w:rsidR="005376A8" w:rsidRPr="005376A8" w14:paraId="12E82108" w14:textId="77777777" w:rsidTr="005376A8">
        <w:trPr>
          <w:trHeight w:val="300"/>
        </w:trPr>
        <w:tc>
          <w:tcPr>
            <w:tcW w:w="1080" w:type="dxa"/>
            <w:tcBorders>
              <w:top w:val="single" w:sz="6" w:space="0" w:color="auto"/>
              <w:left w:val="single" w:sz="6" w:space="0" w:color="auto"/>
              <w:bottom w:val="single" w:sz="6" w:space="0" w:color="auto"/>
              <w:right w:val="single" w:sz="6" w:space="0" w:color="auto"/>
            </w:tcBorders>
            <w:hideMark/>
          </w:tcPr>
          <w:p w14:paraId="713D8657" w14:textId="77777777" w:rsidR="005376A8" w:rsidRPr="005376A8" w:rsidRDefault="005376A8" w:rsidP="005376A8">
            <w:r w:rsidRPr="005376A8">
              <w:rPr>
                <w:lang w:val="en-US"/>
              </w:rPr>
              <w:t>1200 km</w:t>
            </w:r>
            <w:r w:rsidRPr="005376A8">
              <w:t> </w:t>
            </w:r>
          </w:p>
        </w:tc>
        <w:tc>
          <w:tcPr>
            <w:tcW w:w="1350" w:type="dxa"/>
            <w:tcBorders>
              <w:top w:val="single" w:sz="6" w:space="0" w:color="auto"/>
              <w:left w:val="single" w:sz="6" w:space="0" w:color="auto"/>
              <w:bottom w:val="single" w:sz="6" w:space="0" w:color="auto"/>
              <w:right w:val="single" w:sz="6" w:space="0" w:color="auto"/>
            </w:tcBorders>
            <w:hideMark/>
          </w:tcPr>
          <w:p w14:paraId="6057AF7D" w14:textId="77777777" w:rsidR="005376A8" w:rsidRPr="005376A8" w:rsidRDefault="005376A8" w:rsidP="005376A8">
            <w:r w:rsidRPr="005376A8">
              <w:rPr>
                <w:lang w:val="en-US"/>
              </w:rPr>
              <w:t>1500 km</w:t>
            </w:r>
            <w:r w:rsidRPr="005376A8">
              <w:t> </w:t>
            </w:r>
          </w:p>
        </w:tc>
        <w:tc>
          <w:tcPr>
            <w:tcW w:w="1335" w:type="dxa"/>
            <w:tcBorders>
              <w:top w:val="single" w:sz="6" w:space="0" w:color="auto"/>
              <w:left w:val="single" w:sz="6" w:space="0" w:color="auto"/>
              <w:bottom w:val="single" w:sz="6" w:space="0" w:color="auto"/>
              <w:right w:val="single" w:sz="6" w:space="0" w:color="auto"/>
            </w:tcBorders>
            <w:hideMark/>
          </w:tcPr>
          <w:p w14:paraId="1EF4403B" w14:textId="77777777" w:rsidR="005376A8" w:rsidRPr="005376A8" w:rsidRDefault="005376A8" w:rsidP="005376A8">
            <w:r w:rsidRPr="005376A8">
              <w:rPr>
                <w:lang w:val="en-US"/>
              </w:rPr>
              <w:t>30 deg</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1B50C78A" w14:textId="77777777" w:rsidR="005376A8" w:rsidRPr="005376A8" w:rsidRDefault="005376A8" w:rsidP="005376A8">
            <w:r w:rsidRPr="005376A8">
              <w:rPr>
                <w:lang w:val="en-US"/>
              </w:rPr>
              <w:t>64%</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0503C424" w14:textId="77777777" w:rsidR="005376A8" w:rsidRPr="005376A8" w:rsidRDefault="005376A8" w:rsidP="005376A8">
            <w:r w:rsidRPr="005376A8">
              <w:rPr>
                <w:lang w:val="en-US"/>
              </w:rPr>
              <w:t>31%</w:t>
            </w:r>
            <w:r w:rsidRPr="005376A8">
              <w:t> </w:t>
            </w:r>
          </w:p>
        </w:tc>
        <w:tc>
          <w:tcPr>
            <w:tcW w:w="1140" w:type="dxa"/>
            <w:tcBorders>
              <w:top w:val="single" w:sz="6" w:space="0" w:color="auto"/>
              <w:left w:val="single" w:sz="6" w:space="0" w:color="auto"/>
              <w:bottom w:val="single" w:sz="6" w:space="0" w:color="auto"/>
              <w:right w:val="single" w:sz="6" w:space="0" w:color="auto"/>
            </w:tcBorders>
            <w:hideMark/>
          </w:tcPr>
          <w:p w14:paraId="7C8845BB" w14:textId="77777777" w:rsidR="005376A8" w:rsidRPr="005376A8" w:rsidRDefault="005376A8" w:rsidP="005376A8">
            <w:r w:rsidRPr="005376A8">
              <w:rPr>
                <w:lang w:val="en-US"/>
              </w:rPr>
              <w:t>5%</w:t>
            </w:r>
            <w:r w:rsidRPr="005376A8">
              <w:t> </w:t>
            </w:r>
          </w:p>
        </w:tc>
      </w:tr>
    </w:tbl>
    <w:p w14:paraId="6E47DA63" w14:textId="77777777" w:rsidR="005376A8" w:rsidRPr="005376A8" w:rsidRDefault="005376A8" w:rsidP="005376A8">
      <w:r w:rsidRPr="005376A8">
        <w:t> </w:t>
      </w:r>
    </w:p>
    <w:p w14:paraId="559207CB" w14:textId="2FD17238" w:rsidR="005376A8" w:rsidRPr="007F7997" w:rsidRDefault="005376A8" w:rsidP="005376A8">
      <w:r w:rsidRPr="00D12A1C">
        <w:rPr>
          <w:b/>
          <w:bCs/>
        </w:rPr>
        <w:t xml:space="preserve">Observation </w:t>
      </w:r>
      <w:r w:rsidR="00D73AD9" w:rsidRPr="00D12A1C">
        <w:rPr>
          <w:b/>
          <w:bCs/>
        </w:rPr>
        <w:t>6</w:t>
      </w:r>
      <w:r w:rsidRPr="00D12A1C">
        <w:rPr>
          <w:b/>
          <w:bCs/>
        </w:rPr>
        <w:t>:</w:t>
      </w:r>
      <w:r w:rsidRPr="00891D03">
        <w:rPr>
          <w:b/>
          <w:bCs/>
        </w:rPr>
        <w:t xml:space="preserve"> </w:t>
      </w:r>
      <w:r w:rsidRPr="00F909CF">
        <w:t>NTN TDD requires longer guard periods between DL and UL than TN. Even in LEO constellations the efficiency of NTN TDD deployments will be very low when compared to the NTN FDD. </w:t>
      </w:r>
      <w:r w:rsidRPr="007F7997">
        <w:t> </w:t>
      </w:r>
    </w:p>
    <w:p w14:paraId="4D9F41C1" w14:textId="3761BDF9" w:rsidR="007776EC" w:rsidRPr="00646819" w:rsidRDefault="007776EC" w:rsidP="007776EC">
      <w:pPr>
        <w:rPr>
          <w:lang w:val="en-US"/>
        </w:rPr>
      </w:pPr>
      <w:r w:rsidRPr="007377DE">
        <w:rPr>
          <w:lang w:val="en-US"/>
        </w:rPr>
        <w:t>The primary focus on the NTN related studies should be on FDD operation, following the learnings of the 5G NR studies</w:t>
      </w:r>
      <w:r w:rsidR="00F3208F">
        <w:rPr>
          <w:lang w:val="en-US"/>
        </w:rPr>
        <w:t xml:space="preserve"> and the above mentioned low efficiency of TDD</w:t>
      </w:r>
      <w:r w:rsidRPr="007377DE">
        <w:rPr>
          <w:lang w:val="en-US"/>
        </w:rPr>
        <w:t>.</w:t>
      </w:r>
    </w:p>
    <w:p w14:paraId="6435D0DB" w14:textId="111794A1" w:rsidR="007776EC" w:rsidRDefault="004717E9" w:rsidP="00F909CF">
      <w:r>
        <w:rPr>
          <w:b/>
          <w:bCs/>
        </w:rPr>
        <w:t>Proposal</w:t>
      </w:r>
      <w:r w:rsidR="007776EC" w:rsidRPr="002E2538" w:rsidDel="003E5ACD">
        <w:rPr>
          <w:b/>
          <w:bCs/>
        </w:rPr>
        <w:t xml:space="preserve"> </w:t>
      </w:r>
      <w:r w:rsidR="00D73AD9">
        <w:rPr>
          <w:b/>
          <w:bCs/>
        </w:rPr>
        <w:t>5</w:t>
      </w:r>
      <w:r w:rsidR="007776EC" w:rsidRPr="002E2538" w:rsidDel="003E5ACD">
        <w:rPr>
          <w:b/>
          <w:bCs/>
        </w:rPr>
        <w:t>:</w:t>
      </w:r>
      <w:r w:rsidR="007776EC" w:rsidDel="003E5ACD">
        <w:t xml:space="preserve"> </w:t>
      </w:r>
      <w:r w:rsidR="00365178">
        <w:t>FDD and HD-FDD should be prioritized for 6G NTN</w:t>
      </w:r>
    </w:p>
    <w:p w14:paraId="478EF563" w14:textId="3F8ED9BA" w:rsidR="009A5438" w:rsidRPr="009A5438" w:rsidRDefault="009A5438" w:rsidP="009A5438">
      <w:pPr>
        <w:rPr>
          <w:lang w:eastAsia="zh-CN"/>
        </w:rPr>
      </w:pPr>
      <w:r>
        <w:rPr>
          <w:rFonts w:hint="eastAsia"/>
          <w:lang w:eastAsia="zh-CN"/>
        </w:rPr>
        <w:t xml:space="preserve">Furthermore, </w:t>
      </w:r>
      <w:r w:rsidR="007B02A0">
        <w:rPr>
          <w:rFonts w:hint="eastAsia"/>
          <w:lang w:eastAsia="zh-CN"/>
        </w:rPr>
        <w:t>i</w:t>
      </w:r>
      <w:r w:rsidR="007B02A0" w:rsidRPr="007B02A0">
        <w:rPr>
          <w:lang w:eastAsia="zh-CN"/>
        </w:rPr>
        <w:t xml:space="preserve">n NR, the uplink transmission procedure involves a UE transmitting a Scheduling Request (SR), waiting for an initial uplink grant, transmitting a Buffer Status Report (BSR), and finally sending the first payload on the granted PUSCH resources. The SR/BSR </w:t>
      </w:r>
      <w:r w:rsidR="004922B7">
        <w:rPr>
          <w:rFonts w:hint="eastAsia"/>
          <w:lang w:eastAsia="zh-CN"/>
        </w:rPr>
        <w:t>procedure may bring</w:t>
      </w:r>
      <w:r w:rsidR="00DA45E4">
        <w:rPr>
          <w:rFonts w:hint="eastAsia"/>
          <w:lang w:eastAsia="zh-CN"/>
        </w:rPr>
        <w:t xml:space="preserve"> </w:t>
      </w:r>
      <w:r w:rsidR="004922B7">
        <w:rPr>
          <w:rFonts w:hint="eastAsia"/>
          <w:lang w:eastAsia="zh-CN"/>
        </w:rPr>
        <w:t xml:space="preserve">2 </w:t>
      </w:r>
      <w:r w:rsidR="00DA45E4">
        <w:rPr>
          <w:rFonts w:hint="eastAsia"/>
          <w:lang w:eastAsia="zh-CN"/>
        </w:rPr>
        <w:t xml:space="preserve">RTT </w:t>
      </w:r>
      <w:r w:rsidR="004922B7">
        <w:rPr>
          <w:rFonts w:hint="eastAsia"/>
          <w:lang w:eastAsia="zh-CN"/>
        </w:rPr>
        <w:t xml:space="preserve">latency for data scheduling hence impact the </w:t>
      </w:r>
      <w:r w:rsidR="0001786D">
        <w:rPr>
          <w:rFonts w:hint="eastAsia"/>
          <w:lang w:eastAsia="zh-CN"/>
        </w:rPr>
        <w:t xml:space="preserve">data transfer performance. </w:t>
      </w:r>
      <w:r w:rsidR="004D26E0" w:rsidRPr="00A9496E">
        <w:t xml:space="preserve">During RAN2 #131-bis, </w:t>
      </w:r>
      <w:r w:rsidR="004D26E0" w:rsidRPr="000F64D5">
        <w:t>CB-PUSCH has been proposed as a solution to reduce scheduling latency</w:t>
      </w:r>
      <w:r w:rsidR="004D26E0">
        <w:rPr>
          <w:rFonts w:hint="eastAsia"/>
          <w:lang w:eastAsia="zh-CN"/>
        </w:rPr>
        <w:t xml:space="preserve"> in the UP discussion</w:t>
      </w:r>
      <w:r w:rsidR="00945E1F">
        <w:rPr>
          <w:rFonts w:hint="eastAsia"/>
          <w:lang w:eastAsia="zh-CN"/>
        </w:rPr>
        <w:t xml:space="preserve"> where the</w:t>
      </w:r>
      <w:r w:rsidR="005C0AF5">
        <w:rPr>
          <w:rFonts w:hint="eastAsia"/>
          <w:lang w:eastAsia="zh-CN"/>
        </w:rPr>
        <w:t xml:space="preserve"> </w:t>
      </w:r>
      <w:r w:rsidR="00F472B9">
        <w:rPr>
          <w:rFonts w:hint="eastAsia"/>
          <w:lang w:eastAsia="zh-CN"/>
        </w:rPr>
        <w:t>data can be transmitted over</w:t>
      </w:r>
      <w:r w:rsidR="00945E1F">
        <w:rPr>
          <w:rFonts w:hint="eastAsia"/>
          <w:lang w:eastAsia="zh-CN"/>
        </w:rPr>
        <w:t xml:space="preserve"> </w:t>
      </w:r>
      <w:r w:rsidR="00525595">
        <w:rPr>
          <w:rFonts w:hint="eastAsia"/>
          <w:lang w:eastAsia="zh-CN"/>
        </w:rPr>
        <w:t>CB-PUSCH</w:t>
      </w:r>
      <w:r w:rsidR="00F472B9">
        <w:rPr>
          <w:rFonts w:hint="eastAsia"/>
          <w:lang w:eastAsia="zh-CN"/>
        </w:rPr>
        <w:t xml:space="preserve"> resource.</w:t>
      </w:r>
      <w:r w:rsidR="00525595">
        <w:rPr>
          <w:rFonts w:hint="eastAsia"/>
          <w:lang w:eastAsia="zh-CN"/>
        </w:rPr>
        <w:t xml:space="preserve"> </w:t>
      </w:r>
      <w:r w:rsidR="00C047A1">
        <w:rPr>
          <w:rFonts w:hint="eastAsia"/>
          <w:lang w:eastAsia="zh-CN"/>
        </w:rPr>
        <w:t>Due to the long RTT in NTN system</w:t>
      </w:r>
      <w:r w:rsidR="00282D61">
        <w:rPr>
          <w:rFonts w:hint="eastAsia"/>
          <w:lang w:eastAsia="zh-CN"/>
        </w:rPr>
        <w:t>, especially in GEO,</w:t>
      </w:r>
      <w:r w:rsidR="00C047A1">
        <w:rPr>
          <w:rFonts w:hint="eastAsia"/>
          <w:lang w:eastAsia="zh-CN"/>
        </w:rPr>
        <w:t xml:space="preserve"> the </w:t>
      </w:r>
      <w:r w:rsidR="00282D61">
        <w:rPr>
          <w:rFonts w:hint="eastAsia"/>
          <w:lang w:eastAsia="zh-CN"/>
        </w:rPr>
        <w:t xml:space="preserve">CB-PUSCH mechanism </w:t>
      </w:r>
      <w:r w:rsidR="004E49F8">
        <w:rPr>
          <w:rFonts w:hint="eastAsia"/>
          <w:lang w:eastAsia="zh-CN"/>
        </w:rPr>
        <w:t xml:space="preserve">is even more useful for NTN than TN. </w:t>
      </w:r>
      <w:r w:rsidR="0070493B">
        <w:rPr>
          <w:rFonts w:hint="eastAsia"/>
          <w:lang w:eastAsia="zh-CN"/>
        </w:rPr>
        <w:t xml:space="preserve">Therefore, </w:t>
      </w:r>
      <w:r w:rsidR="00A256BB">
        <w:rPr>
          <w:rFonts w:hint="eastAsia"/>
          <w:lang w:eastAsia="zh-CN"/>
        </w:rPr>
        <w:t xml:space="preserve">if </w:t>
      </w:r>
      <w:r w:rsidR="00C9262D">
        <w:rPr>
          <w:rFonts w:hint="eastAsia"/>
          <w:lang w:eastAsia="zh-CN"/>
        </w:rPr>
        <w:t>CB-PUSCH is to be supported</w:t>
      </w:r>
      <w:r w:rsidR="00EF7869">
        <w:rPr>
          <w:rFonts w:hint="eastAsia"/>
          <w:lang w:eastAsia="zh-CN"/>
        </w:rPr>
        <w:t xml:space="preserve"> in TN and NTN</w:t>
      </w:r>
      <w:r w:rsidR="006D5F68">
        <w:rPr>
          <w:rFonts w:hint="eastAsia"/>
          <w:lang w:eastAsia="zh-CN"/>
        </w:rPr>
        <w:t xml:space="preserve"> for UE in RRC Connected </w:t>
      </w:r>
      <w:r w:rsidR="009F2899">
        <w:rPr>
          <w:rFonts w:hint="eastAsia"/>
          <w:lang w:eastAsia="zh-CN"/>
        </w:rPr>
        <w:t>state</w:t>
      </w:r>
      <w:r w:rsidR="008D479A">
        <w:rPr>
          <w:rFonts w:hint="eastAsia"/>
          <w:lang w:eastAsia="zh-CN"/>
        </w:rPr>
        <w:t xml:space="preserve"> after the UE </w:t>
      </w:r>
      <w:r w:rsidR="00D50D30">
        <w:rPr>
          <w:rFonts w:hint="eastAsia"/>
          <w:lang w:eastAsia="zh-CN"/>
        </w:rPr>
        <w:t>acquire</w:t>
      </w:r>
      <w:r w:rsidR="00E46130">
        <w:rPr>
          <w:rFonts w:hint="eastAsia"/>
          <w:lang w:eastAsia="zh-CN"/>
        </w:rPr>
        <w:t>d the UL sy</w:t>
      </w:r>
      <w:r w:rsidR="00D656FD">
        <w:rPr>
          <w:lang w:eastAsia="zh-CN"/>
        </w:rPr>
        <w:t>n</w:t>
      </w:r>
      <w:r w:rsidR="00E46130">
        <w:rPr>
          <w:rFonts w:hint="eastAsia"/>
          <w:lang w:eastAsia="zh-CN"/>
        </w:rPr>
        <w:t>c</w:t>
      </w:r>
      <w:r w:rsidR="00910C9E">
        <w:rPr>
          <w:rFonts w:hint="eastAsia"/>
          <w:lang w:eastAsia="zh-CN"/>
        </w:rPr>
        <w:t>h</w:t>
      </w:r>
      <w:r w:rsidR="008747FE">
        <w:rPr>
          <w:rFonts w:hint="eastAsia"/>
          <w:lang w:eastAsia="zh-CN"/>
        </w:rPr>
        <w:t>ronization</w:t>
      </w:r>
      <w:r w:rsidR="00C9262D">
        <w:rPr>
          <w:rFonts w:hint="eastAsia"/>
          <w:lang w:eastAsia="zh-CN"/>
        </w:rPr>
        <w:t>,</w:t>
      </w:r>
      <w:r w:rsidR="0070493B">
        <w:rPr>
          <w:rFonts w:hint="eastAsia"/>
          <w:lang w:eastAsia="zh-CN"/>
        </w:rPr>
        <w:t xml:space="preserve"> </w:t>
      </w:r>
      <w:r w:rsidR="00070F54">
        <w:rPr>
          <w:rFonts w:hint="eastAsia"/>
          <w:lang w:eastAsia="zh-CN"/>
        </w:rPr>
        <w:t xml:space="preserve">we assume </w:t>
      </w:r>
      <w:r w:rsidR="00E51E43">
        <w:rPr>
          <w:rFonts w:hint="eastAsia"/>
          <w:lang w:eastAsia="zh-CN"/>
        </w:rPr>
        <w:t>it</w:t>
      </w:r>
      <w:r w:rsidR="00070F54">
        <w:rPr>
          <w:rFonts w:hint="eastAsia"/>
          <w:lang w:eastAsia="zh-CN"/>
        </w:rPr>
        <w:t xml:space="preserve"> </w:t>
      </w:r>
      <w:r w:rsidR="00E24B2D">
        <w:rPr>
          <w:rFonts w:hint="eastAsia"/>
          <w:lang w:eastAsia="zh-CN"/>
        </w:rPr>
        <w:t>should be part of the common design feature for both TN and NTN.</w:t>
      </w:r>
    </w:p>
    <w:p w14:paraId="54840D8A" w14:textId="5CB3F2C2" w:rsidR="00A256BB" w:rsidRPr="0078465B" w:rsidRDefault="009451FD" w:rsidP="00F909CF">
      <w:pPr>
        <w:rPr>
          <w:lang w:eastAsia="zh-CN"/>
        </w:rPr>
      </w:pPr>
      <w:r w:rsidRPr="00F909CF">
        <w:rPr>
          <w:b/>
          <w:bCs/>
          <w:lang w:eastAsia="zh-CN"/>
        </w:rPr>
        <w:t xml:space="preserve">Proposal </w:t>
      </w:r>
      <w:r w:rsidR="00D73AD9">
        <w:rPr>
          <w:b/>
          <w:bCs/>
          <w:lang w:eastAsia="zh-CN"/>
        </w:rPr>
        <w:t>6</w:t>
      </w:r>
      <w:r w:rsidR="00DA6A77">
        <w:rPr>
          <w:rFonts w:hint="eastAsia"/>
          <w:b/>
          <w:bCs/>
          <w:lang w:eastAsia="zh-CN"/>
        </w:rPr>
        <w:t>:</w:t>
      </w:r>
      <w:r>
        <w:rPr>
          <w:rFonts w:hint="eastAsia"/>
          <w:b/>
          <w:lang w:eastAsia="zh-CN"/>
        </w:rPr>
        <w:t xml:space="preserve"> </w:t>
      </w:r>
      <w:r w:rsidR="00E51E43" w:rsidRPr="00F909CF">
        <w:rPr>
          <w:lang w:eastAsia="zh-CN"/>
        </w:rPr>
        <w:t>C</w:t>
      </w:r>
      <w:r w:rsidR="00A256BB" w:rsidRPr="00E51E43">
        <w:rPr>
          <w:lang w:eastAsia="zh-CN"/>
        </w:rPr>
        <w:t>ommon</w:t>
      </w:r>
      <w:r w:rsidR="00A256BB" w:rsidRPr="00A256BB">
        <w:rPr>
          <w:lang w:eastAsia="zh-CN"/>
        </w:rPr>
        <w:t xml:space="preserve"> design of CB-PUSCH should be considered for NTN and TN </w:t>
      </w:r>
      <w:r w:rsidR="006D5F68">
        <w:rPr>
          <w:rFonts w:hint="eastAsia"/>
          <w:lang w:eastAsia="zh-CN"/>
        </w:rPr>
        <w:t xml:space="preserve">for UE in RRC Connected </w:t>
      </w:r>
      <w:r w:rsidR="00791D1D">
        <w:rPr>
          <w:rFonts w:hint="eastAsia"/>
          <w:lang w:eastAsia="zh-CN"/>
        </w:rPr>
        <w:t xml:space="preserve">state </w:t>
      </w:r>
      <w:r w:rsidR="00A256BB" w:rsidRPr="00A256BB">
        <w:rPr>
          <w:lang w:eastAsia="zh-CN"/>
        </w:rPr>
        <w:t>(if both are to be supported</w:t>
      </w:r>
      <w:r w:rsidR="00A256BB" w:rsidRPr="00E51E43">
        <w:rPr>
          <w:lang w:eastAsia="zh-CN"/>
        </w:rPr>
        <w:t>)</w:t>
      </w:r>
      <w:r w:rsidR="00E51E43" w:rsidRPr="00E51E43">
        <w:rPr>
          <w:rFonts w:hint="eastAsia"/>
          <w:lang w:eastAsia="zh-CN"/>
        </w:rPr>
        <w:t>.</w:t>
      </w:r>
    </w:p>
    <w:p w14:paraId="5C429FDE" w14:textId="61AB8294" w:rsidR="007F2F06" w:rsidRDefault="007F2F06" w:rsidP="007F2F06">
      <w:pPr>
        <w:pStyle w:val="Heading2"/>
      </w:pPr>
      <w:r>
        <w:lastRenderedPageBreak/>
        <w:t>2.</w:t>
      </w:r>
      <w:r w:rsidR="00AE4A70">
        <w:rPr>
          <w:rFonts w:hint="eastAsia"/>
          <w:lang w:eastAsia="zh-CN"/>
        </w:rPr>
        <w:t>3</w:t>
      </w:r>
      <w:r>
        <w:tab/>
        <w:t>NTN specific design</w:t>
      </w:r>
      <w:r w:rsidR="008E51A1">
        <w:t xml:space="preserve"> considerations</w:t>
      </w:r>
    </w:p>
    <w:p w14:paraId="06D7B0A2" w14:textId="75BB186E" w:rsidR="00507D48" w:rsidRPr="00F909CF" w:rsidRDefault="00507D48" w:rsidP="00507D48">
      <w:r w:rsidRPr="00507D48">
        <w:t>Discon</w:t>
      </w:r>
      <w:r>
        <w:t>tinuous coverage was introduced to IoT NTN</w:t>
      </w:r>
      <w:r w:rsidR="00E8146D">
        <w:t xml:space="preserve"> to enable a low</w:t>
      </w:r>
      <w:r w:rsidR="001142F0">
        <w:t>-</w:t>
      </w:r>
      <w:r w:rsidR="00E8146D">
        <w:t xml:space="preserve">cost </w:t>
      </w:r>
      <w:proofErr w:type="gramStart"/>
      <w:r w:rsidR="00E8146D">
        <w:t>deployment, but</w:t>
      </w:r>
      <w:proofErr w:type="gramEnd"/>
      <w:r w:rsidR="00E8146D">
        <w:t xml:space="preserve"> may also be relevant </w:t>
      </w:r>
      <w:r w:rsidR="00827829">
        <w:t xml:space="preserve">in case of </w:t>
      </w:r>
      <w:r w:rsidR="00103CA0">
        <w:t>ramp</w:t>
      </w:r>
      <w:r w:rsidR="001E6980">
        <w:t xml:space="preserve">ing up deployment, since areas may exist which </w:t>
      </w:r>
      <w:r w:rsidR="002C3BA4">
        <w:t>does not have</w:t>
      </w:r>
      <w:r w:rsidR="00F8784A">
        <w:t xml:space="preserve"> </w:t>
      </w:r>
      <w:r w:rsidR="004079C8">
        <w:t xml:space="preserve">TN </w:t>
      </w:r>
      <w:r w:rsidR="002C3BA4">
        <w:t>coverage, and only occasional</w:t>
      </w:r>
      <w:r w:rsidR="004079C8">
        <w:t xml:space="preserve"> NTN coverage</w:t>
      </w:r>
      <w:r w:rsidR="002C3BA4">
        <w:t xml:space="preserve"> i.e. due to moving cells.</w:t>
      </w:r>
      <w:r w:rsidR="00BC5280">
        <w:t xml:space="preserve"> </w:t>
      </w:r>
      <w:r w:rsidR="003E72F2">
        <w:t>IoT NTN used a separate SIB, as the validity timer was considered different for the information</w:t>
      </w:r>
      <w:r w:rsidR="00DE453C">
        <w:t>, which could be applied directly to 6G</w:t>
      </w:r>
      <w:r w:rsidR="005E7468">
        <w:t xml:space="preserve"> NTN</w:t>
      </w:r>
      <w:r w:rsidR="00766F50">
        <w:t>.</w:t>
      </w:r>
    </w:p>
    <w:p w14:paraId="1B9FEFBA" w14:textId="3021108F" w:rsidR="00507D48" w:rsidRDefault="00507D48" w:rsidP="00507D48">
      <w:pPr>
        <w:rPr>
          <w:b/>
          <w:bCs/>
        </w:rPr>
      </w:pPr>
      <w:r w:rsidRPr="00646819">
        <w:rPr>
          <w:b/>
          <w:bCs/>
        </w:rPr>
        <w:t xml:space="preserve">Observation </w:t>
      </w:r>
      <w:r w:rsidR="008F6C98">
        <w:rPr>
          <w:b/>
          <w:bCs/>
        </w:rPr>
        <w:t>7</w:t>
      </w:r>
      <w:r w:rsidRPr="00646819">
        <w:rPr>
          <w:b/>
          <w:bCs/>
        </w:rPr>
        <w:t>:</w:t>
      </w:r>
      <w:r>
        <w:t xml:space="preserve"> NTN dedicated satellite information also enables discontinuous coverage</w:t>
      </w:r>
      <w:r w:rsidR="00443B6E">
        <w:t xml:space="preserve"> </w:t>
      </w:r>
      <w:r w:rsidR="00980A3F">
        <w:t xml:space="preserve">to accommodate for </w:t>
      </w:r>
      <w:r w:rsidR="006938DB">
        <w:t>deployment ramp-up</w:t>
      </w:r>
      <w:r>
        <w:t>.</w:t>
      </w:r>
    </w:p>
    <w:p w14:paraId="61BC60E0" w14:textId="00CF5BA9" w:rsidR="00507D48" w:rsidRDefault="00507D48" w:rsidP="00507D48">
      <w:r>
        <w:t>S</w:t>
      </w:r>
      <w:r w:rsidRPr="005E0320">
        <w:t xml:space="preserve">ince the signal strength variation between the edge and the </w:t>
      </w:r>
      <w:r w:rsidR="00DA7B36" w:rsidRPr="005E0320">
        <w:t>centre</w:t>
      </w:r>
      <w:r w:rsidRPr="005E0320">
        <w:t xml:space="preserve"> of an NTN cell is small, it is hard for</w:t>
      </w:r>
      <w:r>
        <w:t xml:space="preserve"> the</w:t>
      </w:r>
      <w:r w:rsidRPr="005E0320">
        <w:t xml:space="preserve"> network to determine handover triggering based solely on the measurement results</w:t>
      </w:r>
      <w:r>
        <w:t xml:space="preserve">. </w:t>
      </w:r>
      <w:r w:rsidRPr="00646819">
        <w:t>Considering</w:t>
      </w:r>
      <w:r>
        <w:t xml:space="preserve"> the above assumption, that the UE is aware of the </w:t>
      </w:r>
      <w:r w:rsidR="00DA7B36">
        <w:t>cell’s</w:t>
      </w:r>
      <w:r>
        <w:t xml:space="preserve"> coverage area, the UE is sufficiently aware of its own location, and that neighbour cell coverage area over time is available, conditional handover is applicable.</w:t>
      </w:r>
    </w:p>
    <w:p w14:paraId="12DD54F5" w14:textId="77777777" w:rsidR="00507D48" w:rsidRPr="00646819" w:rsidRDefault="00507D48" w:rsidP="00507D48">
      <w:r>
        <w:t>Similarly, assistance information provided to assist the UE in cell reselection or redirection may be beneficial for the UE, as it can bring power saving gains.</w:t>
      </w:r>
    </w:p>
    <w:p w14:paraId="1B6DA434" w14:textId="069F2E04" w:rsidR="006C239E" w:rsidRPr="00F909CF" w:rsidRDefault="00E0191C" w:rsidP="00507D48">
      <w:r>
        <w:t>The above features were primarily resolved through providing the UE with enough information to be able to make autonomous decisions on pre-compensation, handover, measurements, and other</w:t>
      </w:r>
      <w:r w:rsidR="005B2C0D">
        <w:t xml:space="preserve"> procedures. Such information were provided using the NR SIB structure, although some changes were necessary </w:t>
      </w:r>
      <w:proofErr w:type="spellStart"/>
      <w:r w:rsidR="005B2C0D">
        <w:t>w.r.t.</w:t>
      </w:r>
      <w:proofErr w:type="spellEnd"/>
      <w:r w:rsidR="005B2C0D">
        <w:t xml:space="preserve"> </w:t>
      </w:r>
      <w:r w:rsidR="004D0C41">
        <w:t xml:space="preserve">when and how to signal these. Overall, we believe that the learning is that albeit the 6G </w:t>
      </w:r>
      <w:r w:rsidR="00DE3162">
        <w:t>TN system information framework may be harmonized with NTN, some considerations on the design is needed to accommodate for NTN.</w:t>
      </w:r>
    </w:p>
    <w:p w14:paraId="6232D515" w14:textId="23B5119E" w:rsidR="00507D48" w:rsidRDefault="00507D48" w:rsidP="00507D48">
      <w:r>
        <w:rPr>
          <w:b/>
          <w:bCs/>
        </w:rPr>
        <w:t xml:space="preserve">Proposal </w:t>
      </w:r>
      <w:r w:rsidR="00826602">
        <w:rPr>
          <w:b/>
          <w:bCs/>
        </w:rPr>
        <w:t>7</w:t>
      </w:r>
      <w:r>
        <w:rPr>
          <w:b/>
          <w:bCs/>
        </w:rPr>
        <w:t xml:space="preserve">: </w:t>
      </w:r>
      <w:r w:rsidRPr="00646819">
        <w:t xml:space="preserve">The </w:t>
      </w:r>
      <w:r>
        <w:t xml:space="preserve">following functionalities for NTN can use the harmonized system information design, but NTN specific </w:t>
      </w:r>
      <w:r w:rsidR="00DE3162">
        <w:t xml:space="preserve">system information </w:t>
      </w:r>
      <w:r>
        <w:t>content</w:t>
      </w:r>
      <w:r w:rsidR="00DE3162">
        <w:t xml:space="preserve"> and procedures</w:t>
      </w:r>
      <w:r>
        <w:t xml:space="preserve"> are </w:t>
      </w:r>
      <w:proofErr w:type="gramStart"/>
      <w:r>
        <w:t>needed;</w:t>
      </w:r>
      <w:proofErr w:type="gramEnd"/>
    </w:p>
    <w:p w14:paraId="54B98F41" w14:textId="4628E097" w:rsidR="000A2056" w:rsidRDefault="000A2056" w:rsidP="00315F97">
      <w:pPr>
        <w:pStyle w:val="ListParagraph"/>
        <w:numPr>
          <w:ilvl w:val="0"/>
          <w:numId w:val="25"/>
        </w:numPr>
      </w:pPr>
      <w:r>
        <w:t>Pre-compensation information</w:t>
      </w:r>
    </w:p>
    <w:p w14:paraId="53257BBE" w14:textId="4C2579AC" w:rsidR="00507D48" w:rsidRDefault="00507D48" w:rsidP="00315F97">
      <w:pPr>
        <w:pStyle w:val="ListParagraph"/>
        <w:numPr>
          <w:ilvl w:val="0"/>
          <w:numId w:val="25"/>
        </w:numPr>
      </w:pPr>
      <w:r w:rsidRPr="00AA5271">
        <w:t>Discontinuous</w:t>
      </w:r>
      <w:r w:rsidRPr="00646819">
        <w:t xml:space="preserve"> coverage</w:t>
      </w:r>
    </w:p>
    <w:p w14:paraId="6008FE30" w14:textId="77777777" w:rsidR="00507D48" w:rsidRDefault="00507D48" w:rsidP="00315F97">
      <w:pPr>
        <w:pStyle w:val="ListParagraph"/>
        <w:numPr>
          <w:ilvl w:val="0"/>
          <w:numId w:val="25"/>
        </w:numPr>
      </w:pPr>
      <w:r>
        <w:t>Broadcast and service areas</w:t>
      </w:r>
    </w:p>
    <w:p w14:paraId="540C734B" w14:textId="77777777" w:rsidR="00507D48" w:rsidRDefault="00507D48" w:rsidP="00315F97">
      <w:pPr>
        <w:pStyle w:val="ListParagraph"/>
        <w:numPr>
          <w:ilvl w:val="0"/>
          <w:numId w:val="25"/>
        </w:numPr>
      </w:pPr>
      <w:r>
        <w:t>Considerations of RTT for various timers e.g. MAC</w:t>
      </w:r>
    </w:p>
    <w:p w14:paraId="7CAFE7BF" w14:textId="21611A7A" w:rsidR="00507D48" w:rsidRDefault="00507D48" w:rsidP="00315F97">
      <w:pPr>
        <w:pStyle w:val="ListParagraph"/>
        <w:numPr>
          <w:ilvl w:val="0"/>
          <w:numId w:val="25"/>
        </w:numPr>
      </w:pPr>
      <w:r>
        <w:t>Time/location based mobility features such as CHO</w:t>
      </w:r>
      <w:r w:rsidR="008A732E">
        <w:t xml:space="preserve">, cell reselection, </w:t>
      </w:r>
      <w:r w:rsidR="000A2056">
        <w:t xml:space="preserve">satellite switching, </w:t>
      </w:r>
      <w:r w:rsidR="008A732E">
        <w:t>or measurement triggering</w:t>
      </w:r>
    </w:p>
    <w:p w14:paraId="5E62810D" w14:textId="7BF15646" w:rsidR="00EC34CB" w:rsidRPr="00D12A1C" w:rsidRDefault="00EC34CB" w:rsidP="00EC34CB">
      <w:pPr>
        <w:rPr>
          <w:lang w:val="en-US"/>
        </w:rPr>
      </w:pPr>
    </w:p>
    <w:p w14:paraId="03FDBC26" w14:textId="77777777" w:rsidR="00EC34CB" w:rsidRPr="006E13D1" w:rsidRDefault="00EC34CB" w:rsidP="00EC34CB">
      <w:pPr>
        <w:pStyle w:val="Heading1"/>
      </w:pPr>
      <w:r>
        <w:t>3</w:t>
      </w:r>
      <w:r w:rsidRPr="006E13D1">
        <w:tab/>
      </w:r>
      <w:r>
        <w:t>Conclusion</w:t>
      </w:r>
    </w:p>
    <w:p w14:paraId="74B285D8" w14:textId="799DDD33" w:rsidR="00EC34CB" w:rsidRPr="006E13D1" w:rsidRDefault="00EC34CB" w:rsidP="00EC34CB">
      <w:r>
        <w:t>This document has made the following observations</w:t>
      </w:r>
      <w:r w:rsidR="008F6C98">
        <w:t xml:space="preserve"> and proposals</w:t>
      </w:r>
      <w:r>
        <w:t>:</w:t>
      </w:r>
    </w:p>
    <w:p w14:paraId="27E04FF2" w14:textId="77777777" w:rsidR="007703CC" w:rsidRPr="00F909CF" w:rsidRDefault="007703CC" w:rsidP="007703CC">
      <w:r>
        <w:rPr>
          <w:b/>
          <w:bCs/>
        </w:rPr>
        <w:t>Observation 1:</w:t>
      </w:r>
      <w:r>
        <w:t xml:space="preserve"> Integration of the NTN device class for VSAT should be harmonized as a part of FWA/CPE device class.</w:t>
      </w:r>
    </w:p>
    <w:p w14:paraId="6367C43D" w14:textId="77777777" w:rsidR="007703CC" w:rsidRDefault="007703CC" w:rsidP="007703CC">
      <w:pPr>
        <w:rPr>
          <w:b/>
          <w:bCs/>
        </w:rPr>
      </w:pPr>
      <w:r>
        <w:rPr>
          <w:b/>
          <w:bCs/>
        </w:rPr>
        <w:t xml:space="preserve">Proposal 1: </w:t>
      </w:r>
      <w:r w:rsidRPr="00F909CF">
        <w:t xml:space="preserve">NTN </w:t>
      </w:r>
      <w:r>
        <w:t>should be considered in all 6G device families.</w:t>
      </w:r>
    </w:p>
    <w:p w14:paraId="4AC6E4A4" w14:textId="5E22FD01" w:rsidR="008F6C98" w:rsidRDefault="008F6C98" w:rsidP="008F6C98">
      <w:r>
        <w:rPr>
          <w:b/>
          <w:bCs/>
        </w:rPr>
        <w:t>Observation 2</w:t>
      </w:r>
      <w:r w:rsidRPr="007F60DC">
        <w:rPr>
          <w:b/>
          <w:bCs/>
        </w:rPr>
        <w:t xml:space="preserve">: </w:t>
      </w:r>
      <w:proofErr w:type="gramStart"/>
      <w:r w:rsidRPr="00271F81">
        <w:t>In order to</w:t>
      </w:r>
      <w:proofErr w:type="gramEnd"/>
      <w:r>
        <w:t xml:space="preserve"> ensure harmonization, </w:t>
      </w:r>
      <w:r w:rsidRPr="00781B1A">
        <w:t>RAN2</w:t>
      </w:r>
      <w:r>
        <w:t>’s design can assume at least that the UE is able to pre-compensate. Further considerations can be discussed after RAN1 progress.</w:t>
      </w:r>
    </w:p>
    <w:p w14:paraId="304EE14D" w14:textId="77777777" w:rsidR="008F6C98" w:rsidRPr="00077BFA" w:rsidRDefault="008F6C98" w:rsidP="008F6C98">
      <w:pPr>
        <w:jc w:val="both"/>
      </w:pPr>
      <w:r w:rsidRPr="007F60DC">
        <w:rPr>
          <w:b/>
          <w:bCs/>
        </w:rPr>
        <w:t xml:space="preserve">Proposal </w:t>
      </w:r>
      <w:r>
        <w:rPr>
          <w:b/>
          <w:bCs/>
        </w:rPr>
        <w:t>2</w:t>
      </w:r>
      <w:r w:rsidRPr="007F60DC">
        <w:rPr>
          <w:b/>
          <w:bCs/>
        </w:rPr>
        <w:t xml:space="preserve">: </w:t>
      </w:r>
      <w:r>
        <w:t>RAN2 to study what location requirements are needed for location-based procedures.</w:t>
      </w:r>
    </w:p>
    <w:p w14:paraId="17F6FD92" w14:textId="77777777" w:rsidR="008F6C98" w:rsidRPr="00D12A1C" w:rsidRDefault="008F6C98" w:rsidP="008F6C98">
      <w:pPr>
        <w:spacing w:line="259" w:lineRule="auto"/>
        <w:jc w:val="both"/>
        <w:rPr>
          <w:b/>
        </w:rPr>
      </w:pPr>
      <w:r w:rsidRPr="003A0A87">
        <w:rPr>
          <w:b/>
          <w:bCs/>
        </w:rPr>
        <w:t xml:space="preserve">Observation 3: </w:t>
      </w:r>
      <w:r w:rsidRPr="008F6C98">
        <w:t>Another difference between TN and NTN is the distance between users and gNB of hundreds to thousands of kilometres, causing huge propagation delays compared to TN.</w:t>
      </w:r>
    </w:p>
    <w:p w14:paraId="0C96766A" w14:textId="77777777" w:rsidR="008F6C98" w:rsidRDefault="008F6C98" w:rsidP="008F6C98">
      <w:pPr>
        <w:jc w:val="both"/>
      </w:pPr>
      <w:r w:rsidRPr="00F909CF">
        <w:rPr>
          <w:b/>
          <w:bCs/>
        </w:rPr>
        <w:t xml:space="preserve">Observation </w:t>
      </w:r>
      <w:r>
        <w:rPr>
          <w:b/>
          <w:bCs/>
        </w:rPr>
        <w:t>4</w:t>
      </w:r>
      <w:r w:rsidRPr="00F909CF">
        <w:rPr>
          <w:b/>
          <w:bCs/>
        </w:rPr>
        <w:t>:</w:t>
      </w:r>
      <w:r>
        <w:t xml:space="preserve"> 6G NTN base requirements may be based on the Rel-17 NR NTN requirements and learnings from 5G NTN topics</w:t>
      </w:r>
    </w:p>
    <w:p w14:paraId="03497EB4" w14:textId="77777777" w:rsidR="008F6C98" w:rsidRDefault="008F6C98" w:rsidP="008F6C98">
      <w:r>
        <w:rPr>
          <w:b/>
          <w:bCs/>
        </w:rPr>
        <w:t>Proposal</w:t>
      </w:r>
      <w:r w:rsidRPr="00B5749B">
        <w:rPr>
          <w:b/>
          <w:bCs/>
        </w:rPr>
        <w:t xml:space="preserve"> </w:t>
      </w:r>
      <w:r>
        <w:rPr>
          <w:b/>
          <w:bCs/>
        </w:rPr>
        <w:t>3</w:t>
      </w:r>
      <w:r w:rsidRPr="00B5749B">
        <w:rPr>
          <w:b/>
          <w:bCs/>
        </w:rPr>
        <w:t>:</w:t>
      </w:r>
      <w:r>
        <w:t xml:space="preserve"> RAN2 to study the following essential aspects for NTN for day-1;</w:t>
      </w:r>
    </w:p>
    <w:p w14:paraId="358E69BA" w14:textId="7F50EE98" w:rsidR="008F6C98" w:rsidRDefault="008F6C98" w:rsidP="008F6C98">
      <w:pPr>
        <w:pStyle w:val="ListParagraph"/>
        <w:numPr>
          <w:ilvl w:val="0"/>
          <w:numId w:val="21"/>
        </w:numPr>
      </w:pPr>
      <w:r>
        <w:t xml:space="preserve">Addressing long and varying RTT </w:t>
      </w:r>
      <w:proofErr w:type="gramStart"/>
      <w:r>
        <w:t xml:space="preserve">times </w:t>
      </w:r>
      <w:r w:rsidRPr="00CF47B7">
        <w:t>,</w:t>
      </w:r>
      <w:proofErr w:type="gramEnd"/>
    </w:p>
    <w:p w14:paraId="337AD01A" w14:textId="77777777" w:rsidR="008F6C98" w:rsidRDefault="008F6C98" w:rsidP="008F6C98">
      <w:pPr>
        <w:pStyle w:val="ListParagraph"/>
        <w:numPr>
          <w:ilvl w:val="0"/>
          <w:numId w:val="21"/>
        </w:numPr>
      </w:pPr>
      <w:r>
        <w:t>Synchronisation to moving satellite Nodes,</w:t>
      </w:r>
    </w:p>
    <w:p w14:paraId="098E4386" w14:textId="77777777" w:rsidR="008F6C98" w:rsidRDefault="008F6C98" w:rsidP="008F6C98">
      <w:pPr>
        <w:pStyle w:val="ListParagraph"/>
        <w:numPr>
          <w:ilvl w:val="0"/>
          <w:numId w:val="21"/>
        </w:numPr>
      </w:pPr>
      <w:r>
        <w:t>Mobility enhancements, including TN-NTN and multi-orbit,</w:t>
      </w:r>
    </w:p>
    <w:p w14:paraId="31C1297F" w14:textId="5EDE3840" w:rsidR="008F6C98" w:rsidRDefault="008F6C98" w:rsidP="008F6C98">
      <w:pPr>
        <w:pStyle w:val="ListParagraph"/>
        <w:numPr>
          <w:ilvl w:val="0"/>
          <w:numId w:val="21"/>
        </w:numPr>
      </w:pPr>
      <w:r>
        <w:t>Measurement framework addressing moving nodes and larger propagation delays</w:t>
      </w:r>
    </w:p>
    <w:p w14:paraId="3E3BEF6D" w14:textId="77777777" w:rsidR="007703CC" w:rsidRDefault="007703CC" w:rsidP="007703CC">
      <w:r w:rsidRPr="00646819">
        <w:rPr>
          <w:b/>
          <w:bCs/>
        </w:rPr>
        <w:lastRenderedPageBreak/>
        <w:t xml:space="preserve">Observation </w:t>
      </w:r>
      <w:r>
        <w:rPr>
          <w:b/>
          <w:bCs/>
        </w:rPr>
        <w:t>5</w:t>
      </w:r>
      <w:r w:rsidRPr="00646819">
        <w:rPr>
          <w:b/>
          <w:bCs/>
        </w:rPr>
        <w:t>:</w:t>
      </w:r>
      <w:r>
        <w:t xml:space="preserve"> The fundamentals behind TN 5G measurement framework was reusable for NR NTN, although enhancements were made to accommodate for the additional propagation delay and different delays among neighbour cells.</w:t>
      </w:r>
    </w:p>
    <w:p w14:paraId="740B27C2" w14:textId="326DE130" w:rsidR="007703CC" w:rsidRPr="005376A8" w:rsidRDefault="007703CC" w:rsidP="007703CC">
      <w:r w:rsidRPr="00646819">
        <w:rPr>
          <w:b/>
          <w:bCs/>
        </w:rPr>
        <w:t xml:space="preserve">Proposal </w:t>
      </w:r>
      <w:r>
        <w:rPr>
          <w:b/>
          <w:bCs/>
        </w:rPr>
        <w:t>4</w:t>
      </w:r>
      <w:r w:rsidRPr="00646819">
        <w:rPr>
          <w:b/>
          <w:bCs/>
        </w:rPr>
        <w:t>:</w:t>
      </w:r>
      <w:r>
        <w:t xml:space="preserve"> 6G NTN measurement framework shall be designed with 6G TN as baseline, but configuration should take the extended and varying propagation delay into account without increasing the complexity unproportionally. FFS whether limited availability of cells can be harmonized with TN energy savings as well. </w:t>
      </w:r>
      <w:r w:rsidRPr="005376A8">
        <w:t> </w:t>
      </w:r>
    </w:p>
    <w:p w14:paraId="6B013582" w14:textId="77777777" w:rsidR="008F6C98" w:rsidRPr="007F7997" w:rsidRDefault="008F6C98" w:rsidP="008F6C98">
      <w:r w:rsidRPr="00714D47">
        <w:rPr>
          <w:b/>
        </w:rPr>
        <w:t>Observation 6:</w:t>
      </w:r>
      <w:r w:rsidRPr="00F909CF">
        <w:rPr>
          <w:b/>
          <w:bCs/>
        </w:rPr>
        <w:t xml:space="preserve"> </w:t>
      </w:r>
      <w:r w:rsidR="007703CC" w:rsidRPr="00F909CF">
        <w:t>NTN TDD requires longer guard periods between DL and UL than TN.</w:t>
      </w:r>
      <w:r w:rsidRPr="00F909CF">
        <w:t xml:space="preserve"> Even in LEO constellations the efficiency of NTN TDD deployments will be very low when compared to the NTN FDD. </w:t>
      </w:r>
      <w:r w:rsidRPr="007F7997">
        <w:t> </w:t>
      </w:r>
    </w:p>
    <w:p w14:paraId="3B341A3A" w14:textId="77777777" w:rsidR="008F6C98" w:rsidRDefault="008F6C98" w:rsidP="008F6C98">
      <w:r>
        <w:rPr>
          <w:b/>
          <w:bCs/>
        </w:rPr>
        <w:t>Proposal</w:t>
      </w:r>
      <w:r w:rsidRPr="002E2538" w:rsidDel="003E5ACD">
        <w:rPr>
          <w:b/>
          <w:bCs/>
        </w:rPr>
        <w:t xml:space="preserve"> </w:t>
      </w:r>
      <w:r>
        <w:rPr>
          <w:b/>
          <w:bCs/>
        </w:rPr>
        <w:t>5</w:t>
      </w:r>
      <w:r w:rsidRPr="002E2538" w:rsidDel="003E5ACD">
        <w:rPr>
          <w:b/>
          <w:bCs/>
        </w:rPr>
        <w:t>:</w:t>
      </w:r>
      <w:r w:rsidDel="003E5ACD">
        <w:t xml:space="preserve"> </w:t>
      </w:r>
      <w:r>
        <w:t>FDD and HD-FDD should be prioritized for 6G NTN</w:t>
      </w:r>
    </w:p>
    <w:p w14:paraId="7B4C02D3" w14:textId="77777777" w:rsidR="008F6C98" w:rsidRPr="0078465B" w:rsidRDefault="008F6C98" w:rsidP="008F6C98">
      <w:pPr>
        <w:rPr>
          <w:lang w:eastAsia="zh-CN"/>
        </w:rPr>
      </w:pPr>
      <w:r w:rsidRPr="00F909CF">
        <w:rPr>
          <w:b/>
          <w:bCs/>
          <w:lang w:eastAsia="zh-CN"/>
        </w:rPr>
        <w:t xml:space="preserve">Proposal </w:t>
      </w:r>
      <w:r>
        <w:rPr>
          <w:b/>
          <w:bCs/>
          <w:lang w:eastAsia="zh-CN"/>
        </w:rPr>
        <w:t>6</w:t>
      </w:r>
      <w:r>
        <w:rPr>
          <w:rFonts w:hint="eastAsia"/>
          <w:b/>
          <w:bCs/>
          <w:lang w:eastAsia="zh-CN"/>
        </w:rPr>
        <w:t>:</w:t>
      </w:r>
      <w:r>
        <w:rPr>
          <w:rFonts w:hint="eastAsia"/>
          <w:b/>
          <w:lang w:eastAsia="zh-CN"/>
        </w:rPr>
        <w:t xml:space="preserve"> </w:t>
      </w:r>
      <w:r w:rsidRPr="00F909CF">
        <w:rPr>
          <w:lang w:eastAsia="zh-CN"/>
        </w:rPr>
        <w:t>C</w:t>
      </w:r>
      <w:r w:rsidRPr="00E51E43">
        <w:rPr>
          <w:lang w:eastAsia="zh-CN"/>
        </w:rPr>
        <w:t>ommon</w:t>
      </w:r>
      <w:r w:rsidRPr="00A256BB">
        <w:rPr>
          <w:lang w:eastAsia="zh-CN"/>
        </w:rPr>
        <w:t xml:space="preserve"> design of CB-PUSCH should be considered for NTN and TN </w:t>
      </w:r>
      <w:r>
        <w:rPr>
          <w:rFonts w:hint="eastAsia"/>
          <w:lang w:eastAsia="zh-CN"/>
        </w:rPr>
        <w:t xml:space="preserve">for UE in RRC Connected state </w:t>
      </w:r>
      <w:r w:rsidRPr="00A256BB">
        <w:rPr>
          <w:lang w:eastAsia="zh-CN"/>
        </w:rPr>
        <w:t>(if both are to be supported</w:t>
      </w:r>
      <w:r w:rsidRPr="00E51E43">
        <w:rPr>
          <w:lang w:eastAsia="zh-CN"/>
        </w:rPr>
        <w:t>)</w:t>
      </w:r>
      <w:r w:rsidRPr="00E51E43">
        <w:rPr>
          <w:rFonts w:hint="eastAsia"/>
          <w:lang w:eastAsia="zh-CN"/>
        </w:rPr>
        <w:t>.</w:t>
      </w:r>
    </w:p>
    <w:p w14:paraId="00F61148" w14:textId="77777777" w:rsidR="008F6C98" w:rsidRDefault="008F6C98" w:rsidP="008F6C98">
      <w:pPr>
        <w:rPr>
          <w:b/>
          <w:bCs/>
        </w:rPr>
      </w:pPr>
      <w:r w:rsidRPr="00646819">
        <w:rPr>
          <w:b/>
          <w:bCs/>
        </w:rPr>
        <w:t xml:space="preserve">Observation </w:t>
      </w:r>
      <w:r>
        <w:rPr>
          <w:b/>
          <w:bCs/>
        </w:rPr>
        <w:t>7</w:t>
      </w:r>
      <w:r w:rsidRPr="00646819">
        <w:rPr>
          <w:b/>
          <w:bCs/>
        </w:rPr>
        <w:t>:</w:t>
      </w:r>
      <w:r>
        <w:t xml:space="preserve"> NTN dedicated satellite information also enables discontinuous coverage to accommodate for deployment ramp-up.</w:t>
      </w:r>
    </w:p>
    <w:p w14:paraId="1B04127E" w14:textId="77777777" w:rsidR="008F6C98" w:rsidRDefault="008F6C98" w:rsidP="008F6C98">
      <w:r>
        <w:rPr>
          <w:b/>
          <w:bCs/>
        </w:rPr>
        <w:t xml:space="preserve">Proposal 7: </w:t>
      </w:r>
      <w:r w:rsidRPr="00646819">
        <w:t xml:space="preserve">The </w:t>
      </w:r>
      <w:r>
        <w:t>following functionalities for NTN can use the harmonized system information design, but NTN specific system information content and procedures are needed;</w:t>
      </w:r>
    </w:p>
    <w:p w14:paraId="06462027" w14:textId="77777777" w:rsidR="008F6C98" w:rsidRDefault="008F6C98" w:rsidP="008F6C98">
      <w:pPr>
        <w:pStyle w:val="ListParagraph"/>
        <w:numPr>
          <w:ilvl w:val="0"/>
          <w:numId w:val="25"/>
        </w:numPr>
      </w:pPr>
      <w:r>
        <w:t>Pre-compensation information</w:t>
      </w:r>
    </w:p>
    <w:p w14:paraId="4B4C2A5F" w14:textId="77777777" w:rsidR="008F6C98" w:rsidRDefault="008F6C98" w:rsidP="008F6C98">
      <w:pPr>
        <w:pStyle w:val="ListParagraph"/>
        <w:numPr>
          <w:ilvl w:val="0"/>
          <w:numId w:val="25"/>
        </w:numPr>
      </w:pPr>
      <w:r w:rsidRPr="00AA5271">
        <w:t>Discontinuous</w:t>
      </w:r>
      <w:r w:rsidRPr="00646819">
        <w:t xml:space="preserve"> coverage</w:t>
      </w:r>
    </w:p>
    <w:p w14:paraId="44024CD0" w14:textId="77777777" w:rsidR="008F6C98" w:rsidRDefault="008F6C98" w:rsidP="008F6C98">
      <w:pPr>
        <w:pStyle w:val="ListParagraph"/>
        <w:numPr>
          <w:ilvl w:val="0"/>
          <w:numId w:val="25"/>
        </w:numPr>
      </w:pPr>
      <w:r>
        <w:t>Broadcast and service areas</w:t>
      </w:r>
    </w:p>
    <w:p w14:paraId="27499A49" w14:textId="77777777" w:rsidR="008F6C98" w:rsidRDefault="008F6C98" w:rsidP="008F6C98">
      <w:pPr>
        <w:pStyle w:val="ListParagraph"/>
        <w:numPr>
          <w:ilvl w:val="0"/>
          <w:numId w:val="25"/>
        </w:numPr>
      </w:pPr>
      <w:r>
        <w:t>Considerations of RTT for various timers e.g. MAC</w:t>
      </w:r>
    </w:p>
    <w:p w14:paraId="4DB0AA60" w14:textId="77777777" w:rsidR="008F6C98" w:rsidRDefault="008F6C98" w:rsidP="008F6C98">
      <w:pPr>
        <w:pStyle w:val="ListParagraph"/>
        <w:numPr>
          <w:ilvl w:val="0"/>
          <w:numId w:val="25"/>
        </w:numPr>
      </w:pPr>
      <w:r>
        <w:t>Time/location based mobility features such as CHO, cell reselection, satellite switching, or measurement triggering</w:t>
      </w:r>
    </w:p>
    <w:p w14:paraId="7FC5B5E3" w14:textId="77777777" w:rsidR="00EC34CB" w:rsidRDefault="00EC34CB" w:rsidP="00EC34CB"/>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2CAF6" w14:textId="77777777" w:rsidR="00D8538A" w:rsidRDefault="00D8538A">
      <w:r>
        <w:separator/>
      </w:r>
    </w:p>
  </w:endnote>
  <w:endnote w:type="continuationSeparator" w:id="0">
    <w:p w14:paraId="2D64B6B5" w14:textId="77777777" w:rsidR="00D8538A" w:rsidRDefault="00D8538A">
      <w:r>
        <w:continuationSeparator/>
      </w:r>
    </w:p>
  </w:endnote>
  <w:endnote w:type="continuationNotice" w:id="1">
    <w:p w14:paraId="2D809161" w14:textId="77777777" w:rsidR="00D8538A" w:rsidRDefault="00D85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EDB2" w14:textId="77777777" w:rsidR="00CD30A0" w:rsidRDefault="00CD3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F623" w14:textId="77777777" w:rsidR="00CD30A0" w:rsidRDefault="00CD30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537B6" w14:textId="77777777" w:rsidR="00CD30A0" w:rsidRDefault="00CD3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4342B" w14:textId="77777777" w:rsidR="00D8538A" w:rsidRDefault="00D8538A">
      <w:r>
        <w:separator/>
      </w:r>
    </w:p>
  </w:footnote>
  <w:footnote w:type="continuationSeparator" w:id="0">
    <w:p w14:paraId="7D1DB496" w14:textId="77777777" w:rsidR="00D8538A" w:rsidRDefault="00D8538A">
      <w:r>
        <w:continuationSeparator/>
      </w:r>
    </w:p>
  </w:footnote>
  <w:footnote w:type="continuationNotice" w:id="1">
    <w:p w14:paraId="317CC310" w14:textId="77777777" w:rsidR="00D8538A" w:rsidRDefault="00D853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64C3" w14:textId="77777777" w:rsidR="00CD30A0" w:rsidRDefault="00CD3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EFAA" w14:textId="77777777" w:rsidR="00CD30A0" w:rsidRDefault="00CD3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3BB5" w14:textId="77777777" w:rsidR="00CD30A0" w:rsidRDefault="00CD3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97256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9E730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E8B1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A2CC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24C0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FA13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FEA0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1A67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1F65E6E"/>
    <w:multiLevelType w:val="hybridMultilevel"/>
    <w:tmpl w:val="BC1E7470"/>
    <w:lvl w:ilvl="0" w:tplc="A8C2B944">
      <w:start w:val="8"/>
      <w:numFmt w:val="bullet"/>
      <w:lvlText w:val="-"/>
      <w:lvlJc w:val="left"/>
      <w:pPr>
        <w:ind w:left="1979" w:hanging="360"/>
      </w:pPr>
      <w:rPr>
        <w:rFonts w:ascii="Calibri" w:eastAsiaTheme="minorHAnsi" w:hAnsi="Calibri" w:cs="Calibr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084914F6"/>
    <w:multiLevelType w:val="hybridMultilevel"/>
    <w:tmpl w:val="D4124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6260699"/>
    <w:multiLevelType w:val="hybridMultilevel"/>
    <w:tmpl w:val="7E309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BD645D"/>
    <w:multiLevelType w:val="hybridMultilevel"/>
    <w:tmpl w:val="19A2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6776F4"/>
    <w:multiLevelType w:val="hybridMultilevel"/>
    <w:tmpl w:val="6736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1D3DFB"/>
    <w:multiLevelType w:val="hybridMultilevel"/>
    <w:tmpl w:val="EC3C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1314749948">
    <w:abstractNumId w:val="12"/>
  </w:num>
  <w:num w:numId="21" w16cid:durableId="246230244">
    <w:abstractNumId w:val="19"/>
  </w:num>
  <w:num w:numId="22" w16cid:durableId="1221406288">
    <w:abstractNumId w:val="18"/>
  </w:num>
  <w:num w:numId="23" w16cid:durableId="2023387406">
    <w:abstractNumId w:val="13"/>
  </w:num>
  <w:num w:numId="24" w16cid:durableId="2089300924">
    <w:abstractNumId w:val="22"/>
  </w:num>
  <w:num w:numId="25" w16cid:durableId="706562949">
    <w:abstractNumId w:val="21"/>
  </w:num>
  <w:num w:numId="26" w16cid:durableId="758673570">
    <w:abstractNumId w:val="8"/>
  </w:num>
  <w:num w:numId="27" w16cid:durableId="1211192521">
    <w:abstractNumId w:val="3"/>
  </w:num>
  <w:num w:numId="28" w16cid:durableId="145864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DD"/>
    <w:rsid w:val="00001E8B"/>
    <w:rsid w:val="00002D7F"/>
    <w:rsid w:val="00004316"/>
    <w:rsid w:val="00006C10"/>
    <w:rsid w:val="0001025B"/>
    <w:rsid w:val="00010287"/>
    <w:rsid w:val="000125CA"/>
    <w:rsid w:val="000145A1"/>
    <w:rsid w:val="0001517A"/>
    <w:rsid w:val="00015287"/>
    <w:rsid w:val="0001576D"/>
    <w:rsid w:val="000161E4"/>
    <w:rsid w:val="00016557"/>
    <w:rsid w:val="0001786D"/>
    <w:rsid w:val="00020738"/>
    <w:rsid w:val="00023C40"/>
    <w:rsid w:val="00024103"/>
    <w:rsid w:val="00024FDE"/>
    <w:rsid w:val="0002507D"/>
    <w:rsid w:val="0002605D"/>
    <w:rsid w:val="00031A21"/>
    <w:rsid w:val="000326D6"/>
    <w:rsid w:val="00032E67"/>
    <w:rsid w:val="00033397"/>
    <w:rsid w:val="00034415"/>
    <w:rsid w:val="000344C6"/>
    <w:rsid w:val="00040095"/>
    <w:rsid w:val="00040C4E"/>
    <w:rsid w:val="000410DC"/>
    <w:rsid w:val="000412BB"/>
    <w:rsid w:val="000418DD"/>
    <w:rsid w:val="000439B0"/>
    <w:rsid w:val="00043E17"/>
    <w:rsid w:val="00043F87"/>
    <w:rsid w:val="000445B1"/>
    <w:rsid w:val="00047DE4"/>
    <w:rsid w:val="00050B16"/>
    <w:rsid w:val="000517DA"/>
    <w:rsid w:val="00051B53"/>
    <w:rsid w:val="00060F39"/>
    <w:rsid w:val="00064B8B"/>
    <w:rsid w:val="00064D1F"/>
    <w:rsid w:val="00065268"/>
    <w:rsid w:val="00065F7B"/>
    <w:rsid w:val="00070F54"/>
    <w:rsid w:val="0007262E"/>
    <w:rsid w:val="000738F8"/>
    <w:rsid w:val="00073965"/>
    <w:rsid w:val="00073C9C"/>
    <w:rsid w:val="00075165"/>
    <w:rsid w:val="00075D18"/>
    <w:rsid w:val="00076185"/>
    <w:rsid w:val="00076412"/>
    <w:rsid w:val="00077BFA"/>
    <w:rsid w:val="00080512"/>
    <w:rsid w:val="00080CB4"/>
    <w:rsid w:val="00080D49"/>
    <w:rsid w:val="00083DD5"/>
    <w:rsid w:val="000870A7"/>
    <w:rsid w:val="00090468"/>
    <w:rsid w:val="00090AFE"/>
    <w:rsid w:val="00092307"/>
    <w:rsid w:val="000933B7"/>
    <w:rsid w:val="00094568"/>
    <w:rsid w:val="00095A7B"/>
    <w:rsid w:val="00095F83"/>
    <w:rsid w:val="0009654D"/>
    <w:rsid w:val="000969E3"/>
    <w:rsid w:val="00096CCC"/>
    <w:rsid w:val="000A2056"/>
    <w:rsid w:val="000A2CE3"/>
    <w:rsid w:val="000A4CE6"/>
    <w:rsid w:val="000A52E1"/>
    <w:rsid w:val="000A715C"/>
    <w:rsid w:val="000B02FD"/>
    <w:rsid w:val="000B0850"/>
    <w:rsid w:val="000B1AED"/>
    <w:rsid w:val="000B41FE"/>
    <w:rsid w:val="000B530A"/>
    <w:rsid w:val="000B6E2E"/>
    <w:rsid w:val="000B7BCF"/>
    <w:rsid w:val="000C522B"/>
    <w:rsid w:val="000C6643"/>
    <w:rsid w:val="000D05D6"/>
    <w:rsid w:val="000D14ED"/>
    <w:rsid w:val="000D1AD4"/>
    <w:rsid w:val="000D2A22"/>
    <w:rsid w:val="000D341A"/>
    <w:rsid w:val="000D3DFC"/>
    <w:rsid w:val="000D3E2F"/>
    <w:rsid w:val="000D58AB"/>
    <w:rsid w:val="000D70CC"/>
    <w:rsid w:val="000E01D4"/>
    <w:rsid w:val="000E0406"/>
    <w:rsid w:val="000E116C"/>
    <w:rsid w:val="000E15AD"/>
    <w:rsid w:val="000E1B2D"/>
    <w:rsid w:val="000E2558"/>
    <w:rsid w:val="000E48AD"/>
    <w:rsid w:val="000E5405"/>
    <w:rsid w:val="000E55FA"/>
    <w:rsid w:val="000E60DC"/>
    <w:rsid w:val="000E7D4C"/>
    <w:rsid w:val="000F047E"/>
    <w:rsid w:val="000F1F63"/>
    <w:rsid w:val="000F2376"/>
    <w:rsid w:val="000F2D33"/>
    <w:rsid w:val="000F3E83"/>
    <w:rsid w:val="000F40D0"/>
    <w:rsid w:val="000F7AFB"/>
    <w:rsid w:val="000F7B23"/>
    <w:rsid w:val="000F7F13"/>
    <w:rsid w:val="00100AC4"/>
    <w:rsid w:val="00100E01"/>
    <w:rsid w:val="00101816"/>
    <w:rsid w:val="001031F9"/>
    <w:rsid w:val="00103CA0"/>
    <w:rsid w:val="0010765D"/>
    <w:rsid w:val="001101DF"/>
    <w:rsid w:val="00110210"/>
    <w:rsid w:val="0011046F"/>
    <w:rsid w:val="001104DC"/>
    <w:rsid w:val="00112F1A"/>
    <w:rsid w:val="0011324C"/>
    <w:rsid w:val="001139F6"/>
    <w:rsid w:val="001142F0"/>
    <w:rsid w:val="00114617"/>
    <w:rsid w:val="00120A25"/>
    <w:rsid w:val="00121109"/>
    <w:rsid w:val="00123B9C"/>
    <w:rsid w:val="00125351"/>
    <w:rsid w:val="0012578A"/>
    <w:rsid w:val="0012610D"/>
    <w:rsid w:val="0013007E"/>
    <w:rsid w:val="0013089B"/>
    <w:rsid w:val="001313C9"/>
    <w:rsid w:val="0013255C"/>
    <w:rsid w:val="0013324D"/>
    <w:rsid w:val="00133B21"/>
    <w:rsid w:val="00133BEB"/>
    <w:rsid w:val="0013542F"/>
    <w:rsid w:val="00135B15"/>
    <w:rsid w:val="00135C6B"/>
    <w:rsid w:val="0014201F"/>
    <w:rsid w:val="001423FB"/>
    <w:rsid w:val="00144FD3"/>
    <w:rsid w:val="00145075"/>
    <w:rsid w:val="00147202"/>
    <w:rsid w:val="0014781E"/>
    <w:rsid w:val="001505F9"/>
    <w:rsid w:val="0015301A"/>
    <w:rsid w:val="0016098C"/>
    <w:rsid w:val="00163A64"/>
    <w:rsid w:val="001716F4"/>
    <w:rsid w:val="00173430"/>
    <w:rsid w:val="00173F50"/>
    <w:rsid w:val="001741A0"/>
    <w:rsid w:val="00174B10"/>
    <w:rsid w:val="00175292"/>
    <w:rsid w:val="00175FA0"/>
    <w:rsid w:val="001765C3"/>
    <w:rsid w:val="00176D05"/>
    <w:rsid w:val="00180509"/>
    <w:rsid w:val="0018102B"/>
    <w:rsid w:val="00181603"/>
    <w:rsid w:val="00184DA3"/>
    <w:rsid w:val="0018542A"/>
    <w:rsid w:val="00186D6E"/>
    <w:rsid w:val="00187DAE"/>
    <w:rsid w:val="00191767"/>
    <w:rsid w:val="00192F72"/>
    <w:rsid w:val="00194CD0"/>
    <w:rsid w:val="00197EA3"/>
    <w:rsid w:val="001A3542"/>
    <w:rsid w:val="001A71A6"/>
    <w:rsid w:val="001A76E9"/>
    <w:rsid w:val="001A7F6B"/>
    <w:rsid w:val="001B232B"/>
    <w:rsid w:val="001B49C9"/>
    <w:rsid w:val="001B5048"/>
    <w:rsid w:val="001B5ABA"/>
    <w:rsid w:val="001C14A9"/>
    <w:rsid w:val="001C23F4"/>
    <w:rsid w:val="001C2710"/>
    <w:rsid w:val="001C4F79"/>
    <w:rsid w:val="001D06CB"/>
    <w:rsid w:val="001D0BF2"/>
    <w:rsid w:val="001D2002"/>
    <w:rsid w:val="001D58D3"/>
    <w:rsid w:val="001D7891"/>
    <w:rsid w:val="001E2C30"/>
    <w:rsid w:val="001E3714"/>
    <w:rsid w:val="001E4DD5"/>
    <w:rsid w:val="001E5056"/>
    <w:rsid w:val="001E5818"/>
    <w:rsid w:val="001E6980"/>
    <w:rsid w:val="001E7E99"/>
    <w:rsid w:val="001F080D"/>
    <w:rsid w:val="001F168B"/>
    <w:rsid w:val="001F172D"/>
    <w:rsid w:val="001F2EF0"/>
    <w:rsid w:val="001F31A0"/>
    <w:rsid w:val="001F7831"/>
    <w:rsid w:val="001F79A0"/>
    <w:rsid w:val="00201250"/>
    <w:rsid w:val="002023B0"/>
    <w:rsid w:val="002030B3"/>
    <w:rsid w:val="00204045"/>
    <w:rsid w:val="00204A0F"/>
    <w:rsid w:val="002053CB"/>
    <w:rsid w:val="0020712B"/>
    <w:rsid w:val="002116A8"/>
    <w:rsid w:val="00211821"/>
    <w:rsid w:val="00211C3A"/>
    <w:rsid w:val="0021503A"/>
    <w:rsid w:val="0021716B"/>
    <w:rsid w:val="00217467"/>
    <w:rsid w:val="00217FA2"/>
    <w:rsid w:val="002204F8"/>
    <w:rsid w:val="00221E68"/>
    <w:rsid w:val="00225A3C"/>
    <w:rsid w:val="0022606D"/>
    <w:rsid w:val="00227C07"/>
    <w:rsid w:val="00231094"/>
    <w:rsid w:val="002311A4"/>
    <w:rsid w:val="00231728"/>
    <w:rsid w:val="00231C11"/>
    <w:rsid w:val="00232272"/>
    <w:rsid w:val="00233CBF"/>
    <w:rsid w:val="00234129"/>
    <w:rsid w:val="002346AB"/>
    <w:rsid w:val="00235F90"/>
    <w:rsid w:val="00237659"/>
    <w:rsid w:val="00241346"/>
    <w:rsid w:val="00241883"/>
    <w:rsid w:val="0024474C"/>
    <w:rsid w:val="00244A05"/>
    <w:rsid w:val="00244A26"/>
    <w:rsid w:val="00245BCF"/>
    <w:rsid w:val="00246734"/>
    <w:rsid w:val="00247076"/>
    <w:rsid w:val="00250404"/>
    <w:rsid w:val="00253751"/>
    <w:rsid w:val="00253A2C"/>
    <w:rsid w:val="00256020"/>
    <w:rsid w:val="00256B74"/>
    <w:rsid w:val="0025774E"/>
    <w:rsid w:val="002579FB"/>
    <w:rsid w:val="00257E5D"/>
    <w:rsid w:val="002610D8"/>
    <w:rsid w:val="00261FC3"/>
    <w:rsid w:val="002623FC"/>
    <w:rsid w:val="00263121"/>
    <w:rsid w:val="00264149"/>
    <w:rsid w:val="00264F4C"/>
    <w:rsid w:val="00265485"/>
    <w:rsid w:val="00271F81"/>
    <w:rsid w:val="002736DD"/>
    <w:rsid w:val="002747EC"/>
    <w:rsid w:val="00276502"/>
    <w:rsid w:val="0027727E"/>
    <w:rsid w:val="00282083"/>
    <w:rsid w:val="002829D8"/>
    <w:rsid w:val="00282D61"/>
    <w:rsid w:val="0028319D"/>
    <w:rsid w:val="002840BB"/>
    <w:rsid w:val="00284A22"/>
    <w:rsid w:val="002852B7"/>
    <w:rsid w:val="002855BF"/>
    <w:rsid w:val="00285CC2"/>
    <w:rsid w:val="0028604C"/>
    <w:rsid w:val="00286A0D"/>
    <w:rsid w:val="00286F9B"/>
    <w:rsid w:val="00287EFA"/>
    <w:rsid w:val="00290A7C"/>
    <w:rsid w:val="002920DB"/>
    <w:rsid w:val="0029277A"/>
    <w:rsid w:val="002935A5"/>
    <w:rsid w:val="00293CC6"/>
    <w:rsid w:val="0029409E"/>
    <w:rsid w:val="00296508"/>
    <w:rsid w:val="00296AD5"/>
    <w:rsid w:val="002A42B8"/>
    <w:rsid w:val="002A5127"/>
    <w:rsid w:val="002A657E"/>
    <w:rsid w:val="002A6F5D"/>
    <w:rsid w:val="002A7C36"/>
    <w:rsid w:val="002B2988"/>
    <w:rsid w:val="002B2C1D"/>
    <w:rsid w:val="002B555D"/>
    <w:rsid w:val="002B5E46"/>
    <w:rsid w:val="002B766E"/>
    <w:rsid w:val="002B783F"/>
    <w:rsid w:val="002B7E52"/>
    <w:rsid w:val="002B7E7A"/>
    <w:rsid w:val="002C05D0"/>
    <w:rsid w:val="002C188E"/>
    <w:rsid w:val="002C2D54"/>
    <w:rsid w:val="002C3BA4"/>
    <w:rsid w:val="002C466D"/>
    <w:rsid w:val="002C49A3"/>
    <w:rsid w:val="002C5BB2"/>
    <w:rsid w:val="002D099E"/>
    <w:rsid w:val="002D1F79"/>
    <w:rsid w:val="002D2B73"/>
    <w:rsid w:val="002D2F04"/>
    <w:rsid w:val="002D3518"/>
    <w:rsid w:val="002E1817"/>
    <w:rsid w:val="002E1902"/>
    <w:rsid w:val="002E2538"/>
    <w:rsid w:val="002E371D"/>
    <w:rsid w:val="002E3749"/>
    <w:rsid w:val="002E4746"/>
    <w:rsid w:val="002E52DB"/>
    <w:rsid w:val="002F0D22"/>
    <w:rsid w:val="002F1273"/>
    <w:rsid w:val="002F1C85"/>
    <w:rsid w:val="002F2D43"/>
    <w:rsid w:val="002F4F9E"/>
    <w:rsid w:val="002F5CCA"/>
    <w:rsid w:val="002F6636"/>
    <w:rsid w:val="002F7D90"/>
    <w:rsid w:val="002F7EAE"/>
    <w:rsid w:val="003020F2"/>
    <w:rsid w:val="00302167"/>
    <w:rsid w:val="003026CE"/>
    <w:rsid w:val="00302870"/>
    <w:rsid w:val="003036A7"/>
    <w:rsid w:val="00305E02"/>
    <w:rsid w:val="00307A6A"/>
    <w:rsid w:val="00307CF9"/>
    <w:rsid w:val="003108FF"/>
    <w:rsid w:val="00311B17"/>
    <w:rsid w:val="0031276A"/>
    <w:rsid w:val="0031360F"/>
    <w:rsid w:val="00314222"/>
    <w:rsid w:val="00315782"/>
    <w:rsid w:val="00315C37"/>
    <w:rsid w:val="00315F97"/>
    <w:rsid w:val="00315FA8"/>
    <w:rsid w:val="003172DC"/>
    <w:rsid w:val="00317490"/>
    <w:rsid w:val="003175EE"/>
    <w:rsid w:val="00320AA2"/>
    <w:rsid w:val="00321BD2"/>
    <w:rsid w:val="00323472"/>
    <w:rsid w:val="00324517"/>
    <w:rsid w:val="00325558"/>
    <w:rsid w:val="00325AE3"/>
    <w:rsid w:val="00326069"/>
    <w:rsid w:val="00327892"/>
    <w:rsid w:val="00330103"/>
    <w:rsid w:val="00331C3C"/>
    <w:rsid w:val="00331E70"/>
    <w:rsid w:val="00331F64"/>
    <w:rsid w:val="00332AC2"/>
    <w:rsid w:val="00332E42"/>
    <w:rsid w:val="003347AB"/>
    <w:rsid w:val="00337268"/>
    <w:rsid w:val="00337C8A"/>
    <w:rsid w:val="00341438"/>
    <w:rsid w:val="00342C3C"/>
    <w:rsid w:val="00342F4E"/>
    <w:rsid w:val="0034328D"/>
    <w:rsid w:val="00350DC2"/>
    <w:rsid w:val="00351D54"/>
    <w:rsid w:val="003544ED"/>
    <w:rsid w:val="0035462D"/>
    <w:rsid w:val="003566A6"/>
    <w:rsid w:val="00356FF8"/>
    <w:rsid w:val="00357A81"/>
    <w:rsid w:val="00360708"/>
    <w:rsid w:val="003615B6"/>
    <w:rsid w:val="0036459E"/>
    <w:rsid w:val="00364B41"/>
    <w:rsid w:val="00365178"/>
    <w:rsid w:val="00365392"/>
    <w:rsid w:val="00365EED"/>
    <w:rsid w:val="003670B3"/>
    <w:rsid w:val="00372543"/>
    <w:rsid w:val="003728D3"/>
    <w:rsid w:val="00372DF8"/>
    <w:rsid w:val="003731C1"/>
    <w:rsid w:val="00373F09"/>
    <w:rsid w:val="00377555"/>
    <w:rsid w:val="00377DDC"/>
    <w:rsid w:val="00380484"/>
    <w:rsid w:val="00383096"/>
    <w:rsid w:val="00385C8E"/>
    <w:rsid w:val="00385DF3"/>
    <w:rsid w:val="00386D21"/>
    <w:rsid w:val="00386D46"/>
    <w:rsid w:val="0038792E"/>
    <w:rsid w:val="00390B09"/>
    <w:rsid w:val="0039346C"/>
    <w:rsid w:val="00393B14"/>
    <w:rsid w:val="00394B10"/>
    <w:rsid w:val="00394BBC"/>
    <w:rsid w:val="00395B8A"/>
    <w:rsid w:val="00395FB3"/>
    <w:rsid w:val="0039701E"/>
    <w:rsid w:val="003A027A"/>
    <w:rsid w:val="003A02DE"/>
    <w:rsid w:val="003A258F"/>
    <w:rsid w:val="003A41EF"/>
    <w:rsid w:val="003A4ED8"/>
    <w:rsid w:val="003A52FC"/>
    <w:rsid w:val="003A57E2"/>
    <w:rsid w:val="003A7904"/>
    <w:rsid w:val="003A7944"/>
    <w:rsid w:val="003B0D10"/>
    <w:rsid w:val="003B1413"/>
    <w:rsid w:val="003B2A54"/>
    <w:rsid w:val="003B306A"/>
    <w:rsid w:val="003B40AD"/>
    <w:rsid w:val="003B5246"/>
    <w:rsid w:val="003B761D"/>
    <w:rsid w:val="003B7CFA"/>
    <w:rsid w:val="003C2630"/>
    <w:rsid w:val="003C28ED"/>
    <w:rsid w:val="003C2DAE"/>
    <w:rsid w:val="003C2FDE"/>
    <w:rsid w:val="003C3A70"/>
    <w:rsid w:val="003C3D6F"/>
    <w:rsid w:val="003C41EB"/>
    <w:rsid w:val="003C4E37"/>
    <w:rsid w:val="003C65F8"/>
    <w:rsid w:val="003C71A8"/>
    <w:rsid w:val="003C77E6"/>
    <w:rsid w:val="003D0FD0"/>
    <w:rsid w:val="003D1815"/>
    <w:rsid w:val="003D31D4"/>
    <w:rsid w:val="003D559E"/>
    <w:rsid w:val="003D6B42"/>
    <w:rsid w:val="003D7AAB"/>
    <w:rsid w:val="003D7C5C"/>
    <w:rsid w:val="003E069C"/>
    <w:rsid w:val="003E16BE"/>
    <w:rsid w:val="003E1B5B"/>
    <w:rsid w:val="003E25A9"/>
    <w:rsid w:val="003E5ACD"/>
    <w:rsid w:val="003E5EF5"/>
    <w:rsid w:val="003E6B6C"/>
    <w:rsid w:val="003E7019"/>
    <w:rsid w:val="003E72F2"/>
    <w:rsid w:val="003E7ED5"/>
    <w:rsid w:val="003E7F77"/>
    <w:rsid w:val="003F0628"/>
    <w:rsid w:val="003F0856"/>
    <w:rsid w:val="003F1B32"/>
    <w:rsid w:val="003F4E28"/>
    <w:rsid w:val="003F667F"/>
    <w:rsid w:val="003F76B6"/>
    <w:rsid w:val="003F7D02"/>
    <w:rsid w:val="00400506"/>
    <w:rsid w:val="004006E8"/>
    <w:rsid w:val="00401855"/>
    <w:rsid w:val="004079C8"/>
    <w:rsid w:val="004102B8"/>
    <w:rsid w:val="0041294D"/>
    <w:rsid w:val="00412C93"/>
    <w:rsid w:val="00421307"/>
    <w:rsid w:val="00422350"/>
    <w:rsid w:val="004247F0"/>
    <w:rsid w:val="00426F1F"/>
    <w:rsid w:val="00432323"/>
    <w:rsid w:val="004329D8"/>
    <w:rsid w:val="00435840"/>
    <w:rsid w:val="00440521"/>
    <w:rsid w:val="004430B5"/>
    <w:rsid w:val="00443B6E"/>
    <w:rsid w:val="00444A87"/>
    <w:rsid w:val="00445FBA"/>
    <w:rsid w:val="0044697E"/>
    <w:rsid w:val="00446C3A"/>
    <w:rsid w:val="00446F17"/>
    <w:rsid w:val="00451510"/>
    <w:rsid w:val="004538DA"/>
    <w:rsid w:val="00453977"/>
    <w:rsid w:val="00454A4E"/>
    <w:rsid w:val="00456BBB"/>
    <w:rsid w:val="00457837"/>
    <w:rsid w:val="004578C0"/>
    <w:rsid w:val="00462511"/>
    <w:rsid w:val="00463836"/>
    <w:rsid w:val="004645BB"/>
    <w:rsid w:val="00465587"/>
    <w:rsid w:val="00466583"/>
    <w:rsid w:val="00471413"/>
    <w:rsid w:val="004717E9"/>
    <w:rsid w:val="004723D8"/>
    <w:rsid w:val="00477455"/>
    <w:rsid w:val="00483950"/>
    <w:rsid w:val="00483C46"/>
    <w:rsid w:val="00483EA7"/>
    <w:rsid w:val="00486DFB"/>
    <w:rsid w:val="00486F0E"/>
    <w:rsid w:val="00487595"/>
    <w:rsid w:val="00490CEB"/>
    <w:rsid w:val="004922B7"/>
    <w:rsid w:val="00492E90"/>
    <w:rsid w:val="00495418"/>
    <w:rsid w:val="00497AD4"/>
    <w:rsid w:val="00497DB4"/>
    <w:rsid w:val="004A1F7B"/>
    <w:rsid w:val="004A6598"/>
    <w:rsid w:val="004B11FD"/>
    <w:rsid w:val="004B237D"/>
    <w:rsid w:val="004B52E4"/>
    <w:rsid w:val="004B5F0E"/>
    <w:rsid w:val="004B6435"/>
    <w:rsid w:val="004B65CC"/>
    <w:rsid w:val="004C44D2"/>
    <w:rsid w:val="004C599A"/>
    <w:rsid w:val="004C609D"/>
    <w:rsid w:val="004C65AB"/>
    <w:rsid w:val="004C6A87"/>
    <w:rsid w:val="004C712F"/>
    <w:rsid w:val="004D0C41"/>
    <w:rsid w:val="004D1262"/>
    <w:rsid w:val="004D26E0"/>
    <w:rsid w:val="004D2B1C"/>
    <w:rsid w:val="004D3578"/>
    <w:rsid w:val="004D3660"/>
    <w:rsid w:val="004D380D"/>
    <w:rsid w:val="004D3DDD"/>
    <w:rsid w:val="004D4411"/>
    <w:rsid w:val="004D7437"/>
    <w:rsid w:val="004E02AC"/>
    <w:rsid w:val="004E213A"/>
    <w:rsid w:val="004E49F8"/>
    <w:rsid w:val="004E5344"/>
    <w:rsid w:val="004E6A00"/>
    <w:rsid w:val="004E7553"/>
    <w:rsid w:val="004F0D91"/>
    <w:rsid w:val="004F1879"/>
    <w:rsid w:val="004F42A6"/>
    <w:rsid w:val="004F4540"/>
    <w:rsid w:val="004F4A75"/>
    <w:rsid w:val="004F73A7"/>
    <w:rsid w:val="00502DE7"/>
    <w:rsid w:val="00503171"/>
    <w:rsid w:val="00505C7F"/>
    <w:rsid w:val="00506C28"/>
    <w:rsid w:val="00507198"/>
    <w:rsid w:val="005076C3"/>
    <w:rsid w:val="00507D48"/>
    <w:rsid w:val="00510A1C"/>
    <w:rsid w:val="005116EA"/>
    <w:rsid w:val="005140AA"/>
    <w:rsid w:val="005143F7"/>
    <w:rsid w:val="00514772"/>
    <w:rsid w:val="00514A98"/>
    <w:rsid w:val="00514F9D"/>
    <w:rsid w:val="005155A5"/>
    <w:rsid w:val="0051647C"/>
    <w:rsid w:val="0052298D"/>
    <w:rsid w:val="00525595"/>
    <w:rsid w:val="00526B96"/>
    <w:rsid w:val="00527232"/>
    <w:rsid w:val="00530EF4"/>
    <w:rsid w:val="00531247"/>
    <w:rsid w:val="00531719"/>
    <w:rsid w:val="00532D04"/>
    <w:rsid w:val="00532D38"/>
    <w:rsid w:val="0053360F"/>
    <w:rsid w:val="00534DA0"/>
    <w:rsid w:val="005376A8"/>
    <w:rsid w:val="00537809"/>
    <w:rsid w:val="005406D7"/>
    <w:rsid w:val="00541703"/>
    <w:rsid w:val="00541A65"/>
    <w:rsid w:val="00541F08"/>
    <w:rsid w:val="0054235D"/>
    <w:rsid w:val="005432D9"/>
    <w:rsid w:val="00543E6C"/>
    <w:rsid w:val="00545C08"/>
    <w:rsid w:val="00546466"/>
    <w:rsid w:val="00546B1C"/>
    <w:rsid w:val="00552937"/>
    <w:rsid w:val="0055349E"/>
    <w:rsid w:val="005536FC"/>
    <w:rsid w:val="005539C5"/>
    <w:rsid w:val="00560A9E"/>
    <w:rsid w:val="00560FF1"/>
    <w:rsid w:val="0056238A"/>
    <w:rsid w:val="0056268E"/>
    <w:rsid w:val="005639E0"/>
    <w:rsid w:val="00565087"/>
    <w:rsid w:val="0056573F"/>
    <w:rsid w:val="00565DCF"/>
    <w:rsid w:val="005676C3"/>
    <w:rsid w:val="00571279"/>
    <w:rsid w:val="00573250"/>
    <w:rsid w:val="00573BF8"/>
    <w:rsid w:val="00575E06"/>
    <w:rsid w:val="00575FC5"/>
    <w:rsid w:val="00576839"/>
    <w:rsid w:val="00576B10"/>
    <w:rsid w:val="00582BF8"/>
    <w:rsid w:val="00583BC8"/>
    <w:rsid w:val="0058405A"/>
    <w:rsid w:val="0058482A"/>
    <w:rsid w:val="00586C13"/>
    <w:rsid w:val="00587C25"/>
    <w:rsid w:val="00587DBB"/>
    <w:rsid w:val="00590054"/>
    <w:rsid w:val="00590AE0"/>
    <w:rsid w:val="005911ED"/>
    <w:rsid w:val="005936DE"/>
    <w:rsid w:val="00593902"/>
    <w:rsid w:val="005A05EB"/>
    <w:rsid w:val="005A0A04"/>
    <w:rsid w:val="005A11EB"/>
    <w:rsid w:val="005A13AB"/>
    <w:rsid w:val="005A21E4"/>
    <w:rsid w:val="005A31CF"/>
    <w:rsid w:val="005A352A"/>
    <w:rsid w:val="005A49C6"/>
    <w:rsid w:val="005A5862"/>
    <w:rsid w:val="005A7B79"/>
    <w:rsid w:val="005B0282"/>
    <w:rsid w:val="005B1409"/>
    <w:rsid w:val="005B2096"/>
    <w:rsid w:val="005B2AAD"/>
    <w:rsid w:val="005B2B42"/>
    <w:rsid w:val="005B2C0D"/>
    <w:rsid w:val="005B34FA"/>
    <w:rsid w:val="005B39F6"/>
    <w:rsid w:val="005B3C5D"/>
    <w:rsid w:val="005B5A77"/>
    <w:rsid w:val="005B5DB0"/>
    <w:rsid w:val="005B73EC"/>
    <w:rsid w:val="005C0254"/>
    <w:rsid w:val="005C0305"/>
    <w:rsid w:val="005C0AF5"/>
    <w:rsid w:val="005C0E92"/>
    <w:rsid w:val="005C2959"/>
    <w:rsid w:val="005C2F08"/>
    <w:rsid w:val="005C308A"/>
    <w:rsid w:val="005C3803"/>
    <w:rsid w:val="005C385F"/>
    <w:rsid w:val="005C5F2D"/>
    <w:rsid w:val="005C7150"/>
    <w:rsid w:val="005C766E"/>
    <w:rsid w:val="005C7CD5"/>
    <w:rsid w:val="005D2209"/>
    <w:rsid w:val="005D2396"/>
    <w:rsid w:val="005D3F8B"/>
    <w:rsid w:val="005D4D0F"/>
    <w:rsid w:val="005D54D1"/>
    <w:rsid w:val="005D71F9"/>
    <w:rsid w:val="005E0320"/>
    <w:rsid w:val="005E04E1"/>
    <w:rsid w:val="005E0580"/>
    <w:rsid w:val="005E09C6"/>
    <w:rsid w:val="005E26DC"/>
    <w:rsid w:val="005E5011"/>
    <w:rsid w:val="005E6B68"/>
    <w:rsid w:val="005E7468"/>
    <w:rsid w:val="005F00A4"/>
    <w:rsid w:val="005F1034"/>
    <w:rsid w:val="005F3441"/>
    <w:rsid w:val="005F7B5E"/>
    <w:rsid w:val="00602DFA"/>
    <w:rsid w:val="00603201"/>
    <w:rsid w:val="0060379B"/>
    <w:rsid w:val="00604D70"/>
    <w:rsid w:val="00607DF2"/>
    <w:rsid w:val="00610052"/>
    <w:rsid w:val="006101C2"/>
    <w:rsid w:val="00610957"/>
    <w:rsid w:val="00610CA9"/>
    <w:rsid w:val="00611566"/>
    <w:rsid w:val="00612F54"/>
    <w:rsid w:val="00615062"/>
    <w:rsid w:val="006158B0"/>
    <w:rsid w:val="00616A83"/>
    <w:rsid w:val="00616DC7"/>
    <w:rsid w:val="006175A9"/>
    <w:rsid w:val="006238C4"/>
    <w:rsid w:val="00631A11"/>
    <w:rsid w:val="00633665"/>
    <w:rsid w:val="006355E6"/>
    <w:rsid w:val="0063601F"/>
    <w:rsid w:val="006404B4"/>
    <w:rsid w:val="00640756"/>
    <w:rsid w:val="00640C4D"/>
    <w:rsid w:val="0064391B"/>
    <w:rsid w:val="00643B90"/>
    <w:rsid w:val="00644BC0"/>
    <w:rsid w:val="006452D9"/>
    <w:rsid w:val="00646AAD"/>
    <w:rsid w:val="00646D1D"/>
    <w:rsid w:val="00646D99"/>
    <w:rsid w:val="00650A68"/>
    <w:rsid w:val="00650D2C"/>
    <w:rsid w:val="0065250B"/>
    <w:rsid w:val="0065447B"/>
    <w:rsid w:val="00654D38"/>
    <w:rsid w:val="0065687F"/>
    <w:rsid w:val="00656910"/>
    <w:rsid w:val="006574C0"/>
    <w:rsid w:val="00657A11"/>
    <w:rsid w:val="0066001D"/>
    <w:rsid w:val="00660CDD"/>
    <w:rsid w:val="00661108"/>
    <w:rsid w:val="006630BA"/>
    <w:rsid w:val="0066310C"/>
    <w:rsid w:val="00664C7E"/>
    <w:rsid w:val="00666BB1"/>
    <w:rsid w:val="00666D64"/>
    <w:rsid w:val="0066723D"/>
    <w:rsid w:val="00670B9D"/>
    <w:rsid w:val="00670CA9"/>
    <w:rsid w:val="00670CAC"/>
    <w:rsid w:val="00672112"/>
    <w:rsid w:val="00673C75"/>
    <w:rsid w:val="00674E28"/>
    <w:rsid w:val="00675369"/>
    <w:rsid w:val="00676A94"/>
    <w:rsid w:val="00683E06"/>
    <w:rsid w:val="00684528"/>
    <w:rsid w:val="00686566"/>
    <w:rsid w:val="00686759"/>
    <w:rsid w:val="00686C9B"/>
    <w:rsid w:val="00690A3E"/>
    <w:rsid w:val="006938DB"/>
    <w:rsid w:val="006942E6"/>
    <w:rsid w:val="00695A03"/>
    <w:rsid w:val="00696821"/>
    <w:rsid w:val="00696EC4"/>
    <w:rsid w:val="00697FB3"/>
    <w:rsid w:val="006A0358"/>
    <w:rsid w:val="006A098C"/>
    <w:rsid w:val="006A0C66"/>
    <w:rsid w:val="006A2B4B"/>
    <w:rsid w:val="006A41F4"/>
    <w:rsid w:val="006A5C8B"/>
    <w:rsid w:val="006A762A"/>
    <w:rsid w:val="006B023D"/>
    <w:rsid w:val="006B0B23"/>
    <w:rsid w:val="006B43C9"/>
    <w:rsid w:val="006B5C80"/>
    <w:rsid w:val="006B60E8"/>
    <w:rsid w:val="006C1681"/>
    <w:rsid w:val="006C22C7"/>
    <w:rsid w:val="006C239E"/>
    <w:rsid w:val="006C576D"/>
    <w:rsid w:val="006C5C52"/>
    <w:rsid w:val="006C66D8"/>
    <w:rsid w:val="006C78AA"/>
    <w:rsid w:val="006D14BD"/>
    <w:rsid w:val="006D1E24"/>
    <w:rsid w:val="006D35DE"/>
    <w:rsid w:val="006D3B3B"/>
    <w:rsid w:val="006D43A6"/>
    <w:rsid w:val="006D5F68"/>
    <w:rsid w:val="006D68CE"/>
    <w:rsid w:val="006D7162"/>
    <w:rsid w:val="006E1057"/>
    <w:rsid w:val="006E1417"/>
    <w:rsid w:val="006E2FF3"/>
    <w:rsid w:val="006E338D"/>
    <w:rsid w:val="006E44FE"/>
    <w:rsid w:val="006E57E2"/>
    <w:rsid w:val="006E693A"/>
    <w:rsid w:val="006E7F2C"/>
    <w:rsid w:val="006F1FF7"/>
    <w:rsid w:val="006F42E4"/>
    <w:rsid w:val="006F4CC5"/>
    <w:rsid w:val="006F4F7F"/>
    <w:rsid w:val="006F596D"/>
    <w:rsid w:val="006F6A2C"/>
    <w:rsid w:val="006F6B29"/>
    <w:rsid w:val="006F7A08"/>
    <w:rsid w:val="00701B4C"/>
    <w:rsid w:val="0070493B"/>
    <w:rsid w:val="007059F0"/>
    <w:rsid w:val="00706240"/>
    <w:rsid w:val="007069DC"/>
    <w:rsid w:val="00710201"/>
    <w:rsid w:val="00710809"/>
    <w:rsid w:val="00711E5E"/>
    <w:rsid w:val="00714D47"/>
    <w:rsid w:val="0071711E"/>
    <w:rsid w:val="007179F9"/>
    <w:rsid w:val="0072073A"/>
    <w:rsid w:val="00722D53"/>
    <w:rsid w:val="00723B23"/>
    <w:rsid w:val="007247F3"/>
    <w:rsid w:val="0072695E"/>
    <w:rsid w:val="00726993"/>
    <w:rsid w:val="00727DDC"/>
    <w:rsid w:val="0073289F"/>
    <w:rsid w:val="007342B5"/>
    <w:rsid w:val="0073458A"/>
    <w:rsid w:val="00734A5B"/>
    <w:rsid w:val="00735625"/>
    <w:rsid w:val="00736CCD"/>
    <w:rsid w:val="007377DE"/>
    <w:rsid w:val="007400EE"/>
    <w:rsid w:val="00740D86"/>
    <w:rsid w:val="007437F0"/>
    <w:rsid w:val="007439EB"/>
    <w:rsid w:val="00743B95"/>
    <w:rsid w:val="00743DD1"/>
    <w:rsid w:val="00743E8C"/>
    <w:rsid w:val="00744E76"/>
    <w:rsid w:val="00745D7B"/>
    <w:rsid w:val="0074739B"/>
    <w:rsid w:val="00752DF0"/>
    <w:rsid w:val="0075302C"/>
    <w:rsid w:val="007536D1"/>
    <w:rsid w:val="00753AFA"/>
    <w:rsid w:val="00757354"/>
    <w:rsid w:val="00757D40"/>
    <w:rsid w:val="00763408"/>
    <w:rsid w:val="0076564A"/>
    <w:rsid w:val="007662B5"/>
    <w:rsid w:val="00766A9A"/>
    <w:rsid w:val="00766F50"/>
    <w:rsid w:val="0076714B"/>
    <w:rsid w:val="00767CA4"/>
    <w:rsid w:val="007703CC"/>
    <w:rsid w:val="0077654F"/>
    <w:rsid w:val="00776DB0"/>
    <w:rsid w:val="007776EC"/>
    <w:rsid w:val="00777F23"/>
    <w:rsid w:val="00781B1A"/>
    <w:rsid w:val="00781F0F"/>
    <w:rsid w:val="00783232"/>
    <w:rsid w:val="0078396E"/>
    <w:rsid w:val="00783A48"/>
    <w:rsid w:val="00784334"/>
    <w:rsid w:val="0078465B"/>
    <w:rsid w:val="00786B32"/>
    <w:rsid w:val="0078727C"/>
    <w:rsid w:val="0079049D"/>
    <w:rsid w:val="00790D5D"/>
    <w:rsid w:val="00791D1D"/>
    <w:rsid w:val="00793DC5"/>
    <w:rsid w:val="00793E11"/>
    <w:rsid w:val="0079501B"/>
    <w:rsid w:val="00796823"/>
    <w:rsid w:val="007A0B1A"/>
    <w:rsid w:val="007A1F07"/>
    <w:rsid w:val="007A2E55"/>
    <w:rsid w:val="007A34E1"/>
    <w:rsid w:val="007A34F0"/>
    <w:rsid w:val="007A3864"/>
    <w:rsid w:val="007A4202"/>
    <w:rsid w:val="007A4698"/>
    <w:rsid w:val="007A5DEA"/>
    <w:rsid w:val="007A6D9F"/>
    <w:rsid w:val="007B0005"/>
    <w:rsid w:val="007B02A0"/>
    <w:rsid w:val="007B16B6"/>
    <w:rsid w:val="007B1706"/>
    <w:rsid w:val="007B18D8"/>
    <w:rsid w:val="007B447F"/>
    <w:rsid w:val="007C095F"/>
    <w:rsid w:val="007C1032"/>
    <w:rsid w:val="007C1416"/>
    <w:rsid w:val="007C2DD0"/>
    <w:rsid w:val="007C31CC"/>
    <w:rsid w:val="007C4848"/>
    <w:rsid w:val="007C5A57"/>
    <w:rsid w:val="007D17E1"/>
    <w:rsid w:val="007D36E8"/>
    <w:rsid w:val="007D4EC1"/>
    <w:rsid w:val="007D4EDE"/>
    <w:rsid w:val="007D71F4"/>
    <w:rsid w:val="007E090D"/>
    <w:rsid w:val="007E0FD7"/>
    <w:rsid w:val="007E112C"/>
    <w:rsid w:val="007E2C1E"/>
    <w:rsid w:val="007E562A"/>
    <w:rsid w:val="007F29DC"/>
    <w:rsid w:val="007F2E08"/>
    <w:rsid w:val="007F2F06"/>
    <w:rsid w:val="007F3C19"/>
    <w:rsid w:val="007F3D3A"/>
    <w:rsid w:val="007F60DC"/>
    <w:rsid w:val="007F7997"/>
    <w:rsid w:val="008024FA"/>
    <w:rsid w:val="008028A4"/>
    <w:rsid w:val="00805913"/>
    <w:rsid w:val="0080669E"/>
    <w:rsid w:val="00813245"/>
    <w:rsid w:val="00816F52"/>
    <w:rsid w:val="00816FF4"/>
    <w:rsid w:val="00820F57"/>
    <w:rsid w:val="008227B7"/>
    <w:rsid w:val="00823B29"/>
    <w:rsid w:val="00824766"/>
    <w:rsid w:val="00826602"/>
    <w:rsid w:val="00826E48"/>
    <w:rsid w:val="00827829"/>
    <w:rsid w:val="0083006F"/>
    <w:rsid w:val="00830880"/>
    <w:rsid w:val="00831931"/>
    <w:rsid w:val="008327B9"/>
    <w:rsid w:val="00832E0C"/>
    <w:rsid w:val="00836FBD"/>
    <w:rsid w:val="0083794F"/>
    <w:rsid w:val="00837FB1"/>
    <w:rsid w:val="00840DE0"/>
    <w:rsid w:val="00844F57"/>
    <w:rsid w:val="00845253"/>
    <w:rsid w:val="00845BDB"/>
    <w:rsid w:val="00846C55"/>
    <w:rsid w:val="008473E8"/>
    <w:rsid w:val="00847CD0"/>
    <w:rsid w:val="00850788"/>
    <w:rsid w:val="00850A3D"/>
    <w:rsid w:val="00851DBC"/>
    <w:rsid w:val="00851EAD"/>
    <w:rsid w:val="008544C8"/>
    <w:rsid w:val="00854814"/>
    <w:rsid w:val="00854A8B"/>
    <w:rsid w:val="00854AAB"/>
    <w:rsid w:val="00854E19"/>
    <w:rsid w:val="00855252"/>
    <w:rsid w:val="00857E35"/>
    <w:rsid w:val="0086077F"/>
    <w:rsid w:val="008607A8"/>
    <w:rsid w:val="00861432"/>
    <w:rsid w:val="00862335"/>
    <w:rsid w:val="008632DA"/>
    <w:rsid w:val="0086354A"/>
    <w:rsid w:val="00866A7F"/>
    <w:rsid w:val="0087135E"/>
    <w:rsid w:val="00871E7F"/>
    <w:rsid w:val="008736C1"/>
    <w:rsid w:val="00873CAD"/>
    <w:rsid w:val="008747E6"/>
    <w:rsid w:val="008747FE"/>
    <w:rsid w:val="008768C4"/>
    <w:rsid w:val="008768CA"/>
    <w:rsid w:val="00877E18"/>
    <w:rsid w:val="00877EF9"/>
    <w:rsid w:val="00880559"/>
    <w:rsid w:val="008815F5"/>
    <w:rsid w:val="00881A0D"/>
    <w:rsid w:val="00885A4B"/>
    <w:rsid w:val="0088662B"/>
    <w:rsid w:val="0088672A"/>
    <w:rsid w:val="0088725C"/>
    <w:rsid w:val="008901DB"/>
    <w:rsid w:val="0089045D"/>
    <w:rsid w:val="00891832"/>
    <w:rsid w:val="00891D03"/>
    <w:rsid w:val="00892480"/>
    <w:rsid w:val="00893BFE"/>
    <w:rsid w:val="008A4D72"/>
    <w:rsid w:val="008A5A0C"/>
    <w:rsid w:val="008A665C"/>
    <w:rsid w:val="008A732E"/>
    <w:rsid w:val="008B0F4E"/>
    <w:rsid w:val="008B1674"/>
    <w:rsid w:val="008B1D93"/>
    <w:rsid w:val="008B2DC8"/>
    <w:rsid w:val="008B5306"/>
    <w:rsid w:val="008B549E"/>
    <w:rsid w:val="008B54E8"/>
    <w:rsid w:val="008B5BCB"/>
    <w:rsid w:val="008C040A"/>
    <w:rsid w:val="008C0FD0"/>
    <w:rsid w:val="008C1BC3"/>
    <w:rsid w:val="008C21AC"/>
    <w:rsid w:val="008C2E2A"/>
    <w:rsid w:val="008C3057"/>
    <w:rsid w:val="008C4362"/>
    <w:rsid w:val="008C43C9"/>
    <w:rsid w:val="008C5BC8"/>
    <w:rsid w:val="008D0830"/>
    <w:rsid w:val="008D0C8C"/>
    <w:rsid w:val="008D0FE7"/>
    <w:rsid w:val="008D2E4D"/>
    <w:rsid w:val="008D479A"/>
    <w:rsid w:val="008D6CCD"/>
    <w:rsid w:val="008D6D57"/>
    <w:rsid w:val="008D7F40"/>
    <w:rsid w:val="008E1E74"/>
    <w:rsid w:val="008E51A1"/>
    <w:rsid w:val="008E6876"/>
    <w:rsid w:val="008E6AE0"/>
    <w:rsid w:val="008E798A"/>
    <w:rsid w:val="008F16EE"/>
    <w:rsid w:val="008F20B1"/>
    <w:rsid w:val="008F396F"/>
    <w:rsid w:val="008F3DCD"/>
    <w:rsid w:val="008F6C98"/>
    <w:rsid w:val="009012B8"/>
    <w:rsid w:val="00902633"/>
    <w:rsid w:val="0090271F"/>
    <w:rsid w:val="00902785"/>
    <w:rsid w:val="00902CD1"/>
    <w:rsid w:val="00902DB9"/>
    <w:rsid w:val="0090466A"/>
    <w:rsid w:val="00905E5A"/>
    <w:rsid w:val="00906F88"/>
    <w:rsid w:val="00906FF9"/>
    <w:rsid w:val="009076D6"/>
    <w:rsid w:val="00910C9E"/>
    <w:rsid w:val="00911F55"/>
    <w:rsid w:val="00912535"/>
    <w:rsid w:val="00913EA3"/>
    <w:rsid w:val="00914B58"/>
    <w:rsid w:val="009153F4"/>
    <w:rsid w:val="00916045"/>
    <w:rsid w:val="009164BF"/>
    <w:rsid w:val="00917EA6"/>
    <w:rsid w:val="00920B81"/>
    <w:rsid w:val="00920EC1"/>
    <w:rsid w:val="009223E2"/>
    <w:rsid w:val="00922467"/>
    <w:rsid w:val="00923111"/>
    <w:rsid w:val="00923655"/>
    <w:rsid w:val="00923802"/>
    <w:rsid w:val="009248C6"/>
    <w:rsid w:val="00925D98"/>
    <w:rsid w:val="009277FF"/>
    <w:rsid w:val="00930AFA"/>
    <w:rsid w:val="00931B90"/>
    <w:rsid w:val="00931F9B"/>
    <w:rsid w:val="009339CB"/>
    <w:rsid w:val="00936071"/>
    <w:rsid w:val="009363C2"/>
    <w:rsid w:val="0093661D"/>
    <w:rsid w:val="009376CD"/>
    <w:rsid w:val="009379DB"/>
    <w:rsid w:val="00937D91"/>
    <w:rsid w:val="00940212"/>
    <w:rsid w:val="00940788"/>
    <w:rsid w:val="009410CD"/>
    <w:rsid w:val="009427D7"/>
    <w:rsid w:val="00942EC2"/>
    <w:rsid w:val="00943550"/>
    <w:rsid w:val="00944572"/>
    <w:rsid w:val="009451FD"/>
    <w:rsid w:val="00945534"/>
    <w:rsid w:val="00945973"/>
    <w:rsid w:val="00945E1F"/>
    <w:rsid w:val="00947754"/>
    <w:rsid w:val="00947D38"/>
    <w:rsid w:val="00950A33"/>
    <w:rsid w:val="00950A7A"/>
    <w:rsid w:val="00952597"/>
    <w:rsid w:val="00953202"/>
    <w:rsid w:val="00955742"/>
    <w:rsid w:val="00961551"/>
    <w:rsid w:val="00961B32"/>
    <w:rsid w:val="00962509"/>
    <w:rsid w:val="00963492"/>
    <w:rsid w:val="00964215"/>
    <w:rsid w:val="00964CBB"/>
    <w:rsid w:val="00964D02"/>
    <w:rsid w:val="009667CC"/>
    <w:rsid w:val="0097072E"/>
    <w:rsid w:val="00970DB3"/>
    <w:rsid w:val="00970EA8"/>
    <w:rsid w:val="009735A1"/>
    <w:rsid w:val="00974BB0"/>
    <w:rsid w:val="00974CBF"/>
    <w:rsid w:val="00974F76"/>
    <w:rsid w:val="009758CA"/>
    <w:rsid w:val="00975BCD"/>
    <w:rsid w:val="00975DAC"/>
    <w:rsid w:val="00975F86"/>
    <w:rsid w:val="00976F0F"/>
    <w:rsid w:val="00977163"/>
    <w:rsid w:val="00977204"/>
    <w:rsid w:val="009800EB"/>
    <w:rsid w:val="00980A3F"/>
    <w:rsid w:val="009818A2"/>
    <w:rsid w:val="00981AD1"/>
    <w:rsid w:val="00983A2F"/>
    <w:rsid w:val="0098520D"/>
    <w:rsid w:val="009861A5"/>
    <w:rsid w:val="0098633F"/>
    <w:rsid w:val="0098693C"/>
    <w:rsid w:val="009869C3"/>
    <w:rsid w:val="00986C38"/>
    <w:rsid w:val="009873CB"/>
    <w:rsid w:val="00990A83"/>
    <w:rsid w:val="00990DE1"/>
    <w:rsid w:val="00991267"/>
    <w:rsid w:val="00991370"/>
    <w:rsid w:val="00991C61"/>
    <w:rsid w:val="0099200A"/>
    <w:rsid w:val="00992053"/>
    <w:rsid w:val="009928A9"/>
    <w:rsid w:val="00993A7B"/>
    <w:rsid w:val="00994438"/>
    <w:rsid w:val="0099497A"/>
    <w:rsid w:val="00994D0C"/>
    <w:rsid w:val="00994DE0"/>
    <w:rsid w:val="00995471"/>
    <w:rsid w:val="0099636D"/>
    <w:rsid w:val="009978AA"/>
    <w:rsid w:val="00997A46"/>
    <w:rsid w:val="009A0AF3"/>
    <w:rsid w:val="009A0CA4"/>
    <w:rsid w:val="009A5438"/>
    <w:rsid w:val="009B066A"/>
    <w:rsid w:val="009B07CD"/>
    <w:rsid w:val="009B1319"/>
    <w:rsid w:val="009B15CA"/>
    <w:rsid w:val="009B5B67"/>
    <w:rsid w:val="009B5BAF"/>
    <w:rsid w:val="009B7364"/>
    <w:rsid w:val="009C19E9"/>
    <w:rsid w:val="009C263D"/>
    <w:rsid w:val="009C618D"/>
    <w:rsid w:val="009C7453"/>
    <w:rsid w:val="009D094D"/>
    <w:rsid w:val="009D14CF"/>
    <w:rsid w:val="009D1C04"/>
    <w:rsid w:val="009D389B"/>
    <w:rsid w:val="009D4729"/>
    <w:rsid w:val="009D56A9"/>
    <w:rsid w:val="009D664F"/>
    <w:rsid w:val="009D74A6"/>
    <w:rsid w:val="009E0E87"/>
    <w:rsid w:val="009E33F5"/>
    <w:rsid w:val="009E57BE"/>
    <w:rsid w:val="009E6564"/>
    <w:rsid w:val="009F0943"/>
    <w:rsid w:val="009F10E5"/>
    <w:rsid w:val="009F20FA"/>
    <w:rsid w:val="009F2899"/>
    <w:rsid w:val="009F38FA"/>
    <w:rsid w:val="009F3969"/>
    <w:rsid w:val="009F514F"/>
    <w:rsid w:val="009F6114"/>
    <w:rsid w:val="009F6DE7"/>
    <w:rsid w:val="009F6E1D"/>
    <w:rsid w:val="009F7991"/>
    <w:rsid w:val="00A002A5"/>
    <w:rsid w:val="00A0086D"/>
    <w:rsid w:val="00A01710"/>
    <w:rsid w:val="00A03087"/>
    <w:rsid w:val="00A038DF"/>
    <w:rsid w:val="00A03AEF"/>
    <w:rsid w:val="00A0677A"/>
    <w:rsid w:val="00A10F02"/>
    <w:rsid w:val="00A11201"/>
    <w:rsid w:val="00A12575"/>
    <w:rsid w:val="00A13BBC"/>
    <w:rsid w:val="00A14D7A"/>
    <w:rsid w:val="00A14DE4"/>
    <w:rsid w:val="00A156E3"/>
    <w:rsid w:val="00A15ABF"/>
    <w:rsid w:val="00A165BE"/>
    <w:rsid w:val="00A16C17"/>
    <w:rsid w:val="00A1715B"/>
    <w:rsid w:val="00A17176"/>
    <w:rsid w:val="00A176F4"/>
    <w:rsid w:val="00A204CA"/>
    <w:rsid w:val="00A2058F"/>
    <w:rsid w:val="00A209D6"/>
    <w:rsid w:val="00A21D48"/>
    <w:rsid w:val="00A221A7"/>
    <w:rsid w:val="00A22738"/>
    <w:rsid w:val="00A237AC"/>
    <w:rsid w:val="00A2514F"/>
    <w:rsid w:val="00A255E2"/>
    <w:rsid w:val="00A256BB"/>
    <w:rsid w:val="00A31435"/>
    <w:rsid w:val="00A31E93"/>
    <w:rsid w:val="00A31FC6"/>
    <w:rsid w:val="00A320DA"/>
    <w:rsid w:val="00A342EA"/>
    <w:rsid w:val="00A3510A"/>
    <w:rsid w:val="00A35623"/>
    <w:rsid w:val="00A357AD"/>
    <w:rsid w:val="00A3663E"/>
    <w:rsid w:val="00A36E2E"/>
    <w:rsid w:val="00A36F5F"/>
    <w:rsid w:val="00A40067"/>
    <w:rsid w:val="00A413B8"/>
    <w:rsid w:val="00A42888"/>
    <w:rsid w:val="00A42DC3"/>
    <w:rsid w:val="00A430EC"/>
    <w:rsid w:val="00A433C3"/>
    <w:rsid w:val="00A43A36"/>
    <w:rsid w:val="00A46DCC"/>
    <w:rsid w:val="00A476FA"/>
    <w:rsid w:val="00A51C30"/>
    <w:rsid w:val="00A52221"/>
    <w:rsid w:val="00A53366"/>
    <w:rsid w:val="00A53724"/>
    <w:rsid w:val="00A54B2B"/>
    <w:rsid w:val="00A553B4"/>
    <w:rsid w:val="00A55FF6"/>
    <w:rsid w:val="00A5714C"/>
    <w:rsid w:val="00A6052E"/>
    <w:rsid w:val="00A65437"/>
    <w:rsid w:val="00A6713D"/>
    <w:rsid w:val="00A67EF1"/>
    <w:rsid w:val="00A703B6"/>
    <w:rsid w:val="00A70789"/>
    <w:rsid w:val="00A718E5"/>
    <w:rsid w:val="00A719DD"/>
    <w:rsid w:val="00A71D5D"/>
    <w:rsid w:val="00A723E5"/>
    <w:rsid w:val="00A7417F"/>
    <w:rsid w:val="00A753EC"/>
    <w:rsid w:val="00A773B2"/>
    <w:rsid w:val="00A776F9"/>
    <w:rsid w:val="00A77D03"/>
    <w:rsid w:val="00A811A1"/>
    <w:rsid w:val="00A81B6F"/>
    <w:rsid w:val="00A82346"/>
    <w:rsid w:val="00A83EBE"/>
    <w:rsid w:val="00A84AF6"/>
    <w:rsid w:val="00A862F0"/>
    <w:rsid w:val="00A86371"/>
    <w:rsid w:val="00A8694C"/>
    <w:rsid w:val="00A87564"/>
    <w:rsid w:val="00A92E86"/>
    <w:rsid w:val="00A939C6"/>
    <w:rsid w:val="00A94E02"/>
    <w:rsid w:val="00A9671C"/>
    <w:rsid w:val="00A968C4"/>
    <w:rsid w:val="00AA002E"/>
    <w:rsid w:val="00AA1553"/>
    <w:rsid w:val="00AA5271"/>
    <w:rsid w:val="00AA6CD9"/>
    <w:rsid w:val="00AB08AA"/>
    <w:rsid w:val="00AB0B14"/>
    <w:rsid w:val="00AB10D9"/>
    <w:rsid w:val="00AB2266"/>
    <w:rsid w:val="00AB2341"/>
    <w:rsid w:val="00AB5C56"/>
    <w:rsid w:val="00AB76DC"/>
    <w:rsid w:val="00AC1357"/>
    <w:rsid w:val="00AC154C"/>
    <w:rsid w:val="00AC3C36"/>
    <w:rsid w:val="00AD0815"/>
    <w:rsid w:val="00AD24C1"/>
    <w:rsid w:val="00AD2552"/>
    <w:rsid w:val="00AD288E"/>
    <w:rsid w:val="00AD2BE4"/>
    <w:rsid w:val="00AD4F71"/>
    <w:rsid w:val="00AD7E7C"/>
    <w:rsid w:val="00AE193C"/>
    <w:rsid w:val="00AE23CA"/>
    <w:rsid w:val="00AE2A21"/>
    <w:rsid w:val="00AE488B"/>
    <w:rsid w:val="00AE4A70"/>
    <w:rsid w:val="00AE662E"/>
    <w:rsid w:val="00AE73EB"/>
    <w:rsid w:val="00AF052C"/>
    <w:rsid w:val="00AF159E"/>
    <w:rsid w:val="00AF39FF"/>
    <w:rsid w:val="00AF49EF"/>
    <w:rsid w:val="00AF51D7"/>
    <w:rsid w:val="00AF6097"/>
    <w:rsid w:val="00AF724E"/>
    <w:rsid w:val="00AF7BCE"/>
    <w:rsid w:val="00B002AD"/>
    <w:rsid w:val="00B00313"/>
    <w:rsid w:val="00B02777"/>
    <w:rsid w:val="00B027D5"/>
    <w:rsid w:val="00B033CC"/>
    <w:rsid w:val="00B04C20"/>
    <w:rsid w:val="00B05380"/>
    <w:rsid w:val="00B05962"/>
    <w:rsid w:val="00B0705D"/>
    <w:rsid w:val="00B07525"/>
    <w:rsid w:val="00B1009C"/>
    <w:rsid w:val="00B10A68"/>
    <w:rsid w:val="00B10C2B"/>
    <w:rsid w:val="00B12C89"/>
    <w:rsid w:val="00B1323C"/>
    <w:rsid w:val="00B14514"/>
    <w:rsid w:val="00B15449"/>
    <w:rsid w:val="00B16C2F"/>
    <w:rsid w:val="00B21023"/>
    <w:rsid w:val="00B232BA"/>
    <w:rsid w:val="00B25326"/>
    <w:rsid w:val="00B26354"/>
    <w:rsid w:val="00B27303"/>
    <w:rsid w:val="00B3042F"/>
    <w:rsid w:val="00B31AAE"/>
    <w:rsid w:val="00B327CB"/>
    <w:rsid w:val="00B356D6"/>
    <w:rsid w:val="00B374BA"/>
    <w:rsid w:val="00B403F6"/>
    <w:rsid w:val="00B420F4"/>
    <w:rsid w:val="00B430C1"/>
    <w:rsid w:val="00B43CD4"/>
    <w:rsid w:val="00B459D9"/>
    <w:rsid w:val="00B47FD1"/>
    <w:rsid w:val="00B516BB"/>
    <w:rsid w:val="00B51DE8"/>
    <w:rsid w:val="00B53772"/>
    <w:rsid w:val="00B53D0D"/>
    <w:rsid w:val="00B562CE"/>
    <w:rsid w:val="00B5749B"/>
    <w:rsid w:val="00B5751D"/>
    <w:rsid w:val="00B64DB2"/>
    <w:rsid w:val="00B669E9"/>
    <w:rsid w:val="00B679E3"/>
    <w:rsid w:val="00B71C96"/>
    <w:rsid w:val="00B7250F"/>
    <w:rsid w:val="00B7538C"/>
    <w:rsid w:val="00B76DAB"/>
    <w:rsid w:val="00B80D87"/>
    <w:rsid w:val="00B827B4"/>
    <w:rsid w:val="00B82C65"/>
    <w:rsid w:val="00B82EF2"/>
    <w:rsid w:val="00B82FDC"/>
    <w:rsid w:val="00B847F0"/>
    <w:rsid w:val="00B84DB2"/>
    <w:rsid w:val="00B859D3"/>
    <w:rsid w:val="00B87671"/>
    <w:rsid w:val="00B87F33"/>
    <w:rsid w:val="00B90A31"/>
    <w:rsid w:val="00B90B0B"/>
    <w:rsid w:val="00B919CE"/>
    <w:rsid w:val="00B92CE7"/>
    <w:rsid w:val="00B9353B"/>
    <w:rsid w:val="00BA1692"/>
    <w:rsid w:val="00BA1968"/>
    <w:rsid w:val="00BA29F9"/>
    <w:rsid w:val="00BA62AB"/>
    <w:rsid w:val="00BB25E7"/>
    <w:rsid w:val="00BB39AA"/>
    <w:rsid w:val="00BB52C8"/>
    <w:rsid w:val="00BB5B47"/>
    <w:rsid w:val="00BB722A"/>
    <w:rsid w:val="00BB74A2"/>
    <w:rsid w:val="00BC0E8F"/>
    <w:rsid w:val="00BC0F05"/>
    <w:rsid w:val="00BC273E"/>
    <w:rsid w:val="00BC3555"/>
    <w:rsid w:val="00BC3E24"/>
    <w:rsid w:val="00BC5280"/>
    <w:rsid w:val="00BC5E15"/>
    <w:rsid w:val="00BD271C"/>
    <w:rsid w:val="00BD35B4"/>
    <w:rsid w:val="00BD3CEF"/>
    <w:rsid w:val="00BD4659"/>
    <w:rsid w:val="00BD79AC"/>
    <w:rsid w:val="00BE1104"/>
    <w:rsid w:val="00BE2C3F"/>
    <w:rsid w:val="00BE6520"/>
    <w:rsid w:val="00BE6921"/>
    <w:rsid w:val="00BF0FC8"/>
    <w:rsid w:val="00BF1445"/>
    <w:rsid w:val="00BF3205"/>
    <w:rsid w:val="00C0203E"/>
    <w:rsid w:val="00C03C4E"/>
    <w:rsid w:val="00C03CC4"/>
    <w:rsid w:val="00C047A1"/>
    <w:rsid w:val="00C05363"/>
    <w:rsid w:val="00C06032"/>
    <w:rsid w:val="00C07241"/>
    <w:rsid w:val="00C11C1C"/>
    <w:rsid w:val="00C12997"/>
    <w:rsid w:val="00C12B51"/>
    <w:rsid w:val="00C131FD"/>
    <w:rsid w:val="00C14536"/>
    <w:rsid w:val="00C16AB9"/>
    <w:rsid w:val="00C17DD4"/>
    <w:rsid w:val="00C20767"/>
    <w:rsid w:val="00C240D1"/>
    <w:rsid w:val="00C24650"/>
    <w:rsid w:val="00C25465"/>
    <w:rsid w:val="00C27693"/>
    <w:rsid w:val="00C277FC"/>
    <w:rsid w:val="00C3076F"/>
    <w:rsid w:val="00C31806"/>
    <w:rsid w:val="00C32B51"/>
    <w:rsid w:val="00C32C6F"/>
    <w:rsid w:val="00C33079"/>
    <w:rsid w:val="00C3475B"/>
    <w:rsid w:val="00C42909"/>
    <w:rsid w:val="00C46963"/>
    <w:rsid w:val="00C5168D"/>
    <w:rsid w:val="00C55A12"/>
    <w:rsid w:val="00C56AEA"/>
    <w:rsid w:val="00C56C08"/>
    <w:rsid w:val="00C6060F"/>
    <w:rsid w:val="00C62315"/>
    <w:rsid w:val="00C62B7F"/>
    <w:rsid w:val="00C6321D"/>
    <w:rsid w:val="00C645FB"/>
    <w:rsid w:val="00C64DBD"/>
    <w:rsid w:val="00C6553E"/>
    <w:rsid w:val="00C6678D"/>
    <w:rsid w:val="00C66A47"/>
    <w:rsid w:val="00C72BAE"/>
    <w:rsid w:val="00C74CDC"/>
    <w:rsid w:val="00C80D80"/>
    <w:rsid w:val="00C80DC5"/>
    <w:rsid w:val="00C829B1"/>
    <w:rsid w:val="00C831F9"/>
    <w:rsid w:val="00C83A13"/>
    <w:rsid w:val="00C848DF"/>
    <w:rsid w:val="00C849EE"/>
    <w:rsid w:val="00C85C3D"/>
    <w:rsid w:val="00C86F10"/>
    <w:rsid w:val="00C8752D"/>
    <w:rsid w:val="00C87CB3"/>
    <w:rsid w:val="00C9068C"/>
    <w:rsid w:val="00C9262D"/>
    <w:rsid w:val="00C92967"/>
    <w:rsid w:val="00C95D95"/>
    <w:rsid w:val="00C960ED"/>
    <w:rsid w:val="00CA015A"/>
    <w:rsid w:val="00CA1870"/>
    <w:rsid w:val="00CA3D0C"/>
    <w:rsid w:val="00CA4E3A"/>
    <w:rsid w:val="00CA538D"/>
    <w:rsid w:val="00CA5D90"/>
    <w:rsid w:val="00CA654B"/>
    <w:rsid w:val="00CA73D0"/>
    <w:rsid w:val="00CA7CD3"/>
    <w:rsid w:val="00CB1716"/>
    <w:rsid w:val="00CB183F"/>
    <w:rsid w:val="00CB24D2"/>
    <w:rsid w:val="00CB2C44"/>
    <w:rsid w:val="00CB48A3"/>
    <w:rsid w:val="00CB5D49"/>
    <w:rsid w:val="00CB72B8"/>
    <w:rsid w:val="00CB7A3B"/>
    <w:rsid w:val="00CC0124"/>
    <w:rsid w:val="00CC0C6A"/>
    <w:rsid w:val="00CC2927"/>
    <w:rsid w:val="00CC2D0A"/>
    <w:rsid w:val="00CC3457"/>
    <w:rsid w:val="00CC3504"/>
    <w:rsid w:val="00CC45F0"/>
    <w:rsid w:val="00CC4B1F"/>
    <w:rsid w:val="00CC5EF0"/>
    <w:rsid w:val="00CD0BA8"/>
    <w:rsid w:val="00CD19D2"/>
    <w:rsid w:val="00CD208C"/>
    <w:rsid w:val="00CD20B9"/>
    <w:rsid w:val="00CD2738"/>
    <w:rsid w:val="00CD30A0"/>
    <w:rsid w:val="00CD3E5A"/>
    <w:rsid w:val="00CD3FBE"/>
    <w:rsid w:val="00CD4C7B"/>
    <w:rsid w:val="00CD58FE"/>
    <w:rsid w:val="00CD5D28"/>
    <w:rsid w:val="00CD629E"/>
    <w:rsid w:val="00CD65BA"/>
    <w:rsid w:val="00CE0F2B"/>
    <w:rsid w:val="00CE1873"/>
    <w:rsid w:val="00CE379D"/>
    <w:rsid w:val="00CE38E3"/>
    <w:rsid w:val="00CE681C"/>
    <w:rsid w:val="00CF125F"/>
    <w:rsid w:val="00CF1DFF"/>
    <w:rsid w:val="00CF3ACE"/>
    <w:rsid w:val="00CF47B7"/>
    <w:rsid w:val="00CF6668"/>
    <w:rsid w:val="00CF7E8F"/>
    <w:rsid w:val="00D00067"/>
    <w:rsid w:val="00D00DE5"/>
    <w:rsid w:val="00D03839"/>
    <w:rsid w:val="00D040C3"/>
    <w:rsid w:val="00D075B2"/>
    <w:rsid w:val="00D10012"/>
    <w:rsid w:val="00D10B4C"/>
    <w:rsid w:val="00D1146B"/>
    <w:rsid w:val="00D12A1C"/>
    <w:rsid w:val="00D131C4"/>
    <w:rsid w:val="00D1351B"/>
    <w:rsid w:val="00D150B9"/>
    <w:rsid w:val="00D1532E"/>
    <w:rsid w:val="00D17C5C"/>
    <w:rsid w:val="00D2483C"/>
    <w:rsid w:val="00D24A17"/>
    <w:rsid w:val="00D31FAE"/>
    <w:rsid w:val="00D32539"/>
    <w:rsid w:val="00D32FA1"/>
    <w:rsid w:val="00D33BE3"/>
    <w:rsid w:val="00D34581"/>
    <w:rsid w:val="00D35357"/>
    <w:rsid w:val="00D36CC4"/>
    <w:rsid w:val="00D3792D"/>
    <w:rsid w:val="00D4247C"/>
    <w:rsid w:val="00D44FD2"/>
    <w:rsid w:val="00D45810"/>
    <w:rsid w:val="00D50D30"/>
    <w:rsid w:val="00D52EAF"/>
    <w:rsid w:val="00D54820"/>
    <w:rsid w:val="00D55E29"/>
    <w:rsid w:val="00D55E47"/>
    <w:rsid w:val="00D60735"/>
    <w:rsid w:val="00D61387"/>
    <w:rsid w:val="00D61B14"/>
    <w:rsid w:val="00D62E19"/>
    <w:rsid w:val="00D63A47"/>
    <w:rsid w:val="00D6524B"/>
    <w:rsid w:val="00D656FD"/>
    <w:rsid w:val="00D65C55"/>
    <w:rsid w:val="00D6623C"/>
    <w:rsid w:val="00D663F0"/>
    <w:rsid w:val="00D66662"/>
    <w:rsid w:val="00D67CD1"/>
    <w:rsid w:val="00D725DF"/>
    <w:rsid w:val="00D72B50"/>
    <w:rsid w:val="00D73506"/>
    <w:rsid w:val="00D738D6"/>
    <w:rsid w:val="00D73AD9"/>
    <w:rsid w:val="00D75397"/>
    <w:rsid w:val="00D75EAE"/>
    <w:rsid w:val="00D7620D"/>
    <w:rsid w:val="00D777E2"/>
    <w:rsid w:val="00D8041C"/>
    <w:rsid w:val="00D80795"/>
    <w:rsid w:val="00D8360A"/>
    <w:rsid w:val="00D846AD"/>
    <w:rsid w:val="00D8538A"/>
    <w:rsid w:val="00D854BE"/>
    <w:rsid w:val="00D85563"/>
    <w:rsid w:val="00D85D2F"/>
    <w:rsid w:val="00D85F0B"/>
    <w:rsid w:val="00D85F5A"/>
    <w:rsid w:val="00D8600B"/>
    <w:rsid w:val="00D864C8"/>
    <w:rsid w:val="00D8654C"/>
    <w:rsid w:val="00D87176"/>
    <w:rsid w:val="00D8726D"/>
    <w:rsid w:val="00D8733F"/>
    <w:rsid w:val="00D87739"/>
    <w:rsid w:val="00D87E00"/>
    <w:rsid w:val="00D91328"/>
    <w:rsid w:val="00D9134D"/>
    <w:rsid w:val="00D92D2A"/>
    <w:rsid w:val="00D938A6"/>
    <w:rsid w:val="00D95799"/>
    <w:rsid w:val="00D960F7"/>
    <w:rsid w:val="00D96D11"/>
    <w:rsid w:val="00DA0A05"/>
    <w:rsid w:val="00DA1415"/>
    <w:rsid w:val="00DA45E4"/>
    <w:rsid w:val="00DA47DB"/>
    <w:rsid w:val="00DA5F35"/>
    <w:rsid w:val="00DA6A77"/>
    <w:rsid w:val="00DA70AF"/>
    <w:rsid w:val="00DA755E"/>
    <w:rsid w:val="00DA7980"/>
    <w:rsid w:val="00DA7A03"/>
    <w:rsid w:val="00DA7B36"/>
    <w:rsid w:val="00DB0DB8"/>
    <w:rsid w:val="00DB1818"/>
    <w:rsid w:val="00DB1C23"/>
    <w:rsid w:val="00DB2464"/>
    <w:rsid w:val="00DB28A0"/>
    <w:rsid w:val="00DB6435"/>
    <w:rsid w:val="00DB6B16"/>
    <w:rsid w:val="00DB7131"/>
    <w:rsid w:val="00DB7D18"/>
    <w:rsid w:val="00DC309B"/>
    <w:rsid w:val="00DC48C4"/>
    <w:rsid w:val="00DC4A5F"/>
    <w:rsid w:val="00DC4DA2"/>
    <w:rsid w:val="00DC4F04"/>
    <w:rsid w:val="00DC525E"/>
    <w:rsid w:val="00DC5261"/>
    <w:rsid w:val="00DC586E"/>
    <w:rsid w:val="00DD0FFE"/>
    <w:rsid w:val="00DD3364"/>
    <w:rsid w:val="00DD34F1"/>
    <w:rsid w:val="00DD3C8F"/>
    <w:rsid w:val="00DD4667"/>
    <w:rsid w:val="00DD49ED"/>
    <w:rsid w:val="00DD700E"/>
    <w:rsid w:val="00DE25D2"/>
    <w:rsid w:val="00DE3162"/>
    <w:rsid w:val="00DE3F06"/>
    <w:rsid w:val="00DE4309"/>
    <w:rsid w:val="00DE4453"/>
    <w:rsid w:val="00DE453C"/>
    <w:rsid w:val="00DE4B1C"/>
    <w:rsid w:val="00DE5386"/>
    <w:rsid w:val="00DE7E98"/>
    <w:rsid w:val="00DF105F"/>
    <w:rsid w:val="00DF3E4C"/>
    <w:rsid w:val="00DF753F"/>
    <w:rsid w:val="00DF79F7"/>
    <w:rsid w:val="00DF7C20"/>
    <w:rsid w:val="00E00E6E"/>
    <w:rsid w:val="00E00E7B"/>
    <w:rsid w:val="00E0191C"/>
    <w:rsid w:val="00E02777"/>
    <w:rsid w:val="00E038FB"/>
    <w:rsid w:val="00E11FD3"/>
    <w:rsid w:val="00E13A7D"/>
    <w:rsid w:val="00E20713"/>
    <w:rsid w:val="00E215FA"/>
    <w:rsid w:val="00E24B2D"/>
    <w:rsid w:val="00E26212"/>
    <w:rsid w:val="00E2684B"/>
    <w:rsid w:val="00E2768D"/>
    <w:rsid w:val="00E276F9"/>
    <w:rsid w:val="00E3101A"/>
    <w:rsid w:val="00E31EC3"/>
    <w:rsid w:val="00E32055"/>
    <w:rsid w:val="00E32A7D"/>
    <w:rsid w:val="00E32F01"/>
    <w:rsid w:val="00E340A1"/>
    <w:rsid w:val="00E37DB6"/>
    <w:rsid w:val="00E40DED"/>
    <w:rsid w:val="00E40F89"/>
    <w:rsid w:val="00E41C2B"/>
    <w:rsid w:val="00E41F59"/>
    <w:rsid w:val="00E42A2B"/>
    <w:rsid w:val="00E434B2"/>
    <w:rsid w:val="00E46130"/>
    <w:rsid w:val="00E463FD"/>
    <w:rsid w:val="00E467CF"/>
    <w:rsid w:val="00E46C08"/>
    <w:rsid w:val="00E471CF"/>
    <w:rsid w:val="00E51443"/>
    <w:rsid w:val="00E51E43"/>
    <w:rsid w:val="00E52518"/>
    <w:rsid w:val="00E53266"/>
    <w:rsid w:val="00E5476C"/>
    <w:rsid w:val="00E55E91"/>
    <w:rsid w:val="00E566A8"/>
    <w:rsid w:val="00E621EF"/>
    <w:rsid w:val="00E62835"/>
    <w:rsid w:val="00E6454F"/>
    <w:rsid w:val="00E6480E"/>
    <w:rsid w:val="00E6523C"/>
    <w:rsid w:val="00E71C6B"/>
    <w:rsid w:val="00E72047"/>
    <w:rsid w:val="00E720F6"/>
    <w:rsid w:val="00E72A94"/>
    <w:rsid w:val="00E73777"/>
    <w:rsid w:val="00E742EE"/>
    <w:rsid w:val="00E75EBE"/>
    <w:rsid w:val="00E77645"/>
    <w:rsid w:val="00E77646"/>
    <w:rsid w:val="00E8146D"/>
    <w:rsid w:val="00E82862"/>
    <w:rsid w:val="00E83697"/>
    <w:rsid w:val="00E842C9"/>
    <w:rsid w:val="00E84C6D"/>
    <w:rsid w:val="00E85767"/>
    <w:rsid w:val="00E8584E"/>
    <w:rsid w:val="00E859B6"/>
    <w:rsid w:val="00E85B65"/>
    <w:rsid w:val="00E862B3"/>
    <w:rsid w:val="00E876FE"/>
    <w:rsid w:val="00E90FDD"/>
    <w:rsid w:val="00E91243"/>
    <w:rsid w:val="00E92D4F"/>
    <w:rsid w:val="00E93A1F"/>
    <w:rsid w:val="00E9476A"/>
    <w:rsid w:val="00E95CCE"/>
    <w:rsid w:val="00E96DBF"/>
    <w:rsid w:val="00EA2056"/>
    <w:rsid w:val="00EA2434"/>
    <w:rsid w:val="00EA4758"/>
    <w:rsid w:val="00EA4918"/>
    <w:rsid w:val="00EA66C9"/>
    <w:rsid w:val="00EA7706"/>
    <w:rsid w:val="00EB1FD4"/>
    <w:rsid w:val="00EB26CA"/>
    <w:rsid w:val="00EB3F59"/>
    <w:rsid w:val="00EB5D32"/>
    <w:rsid w:val="00EB65FE"/>
    <w:rsid w:val="00EC0DB2"/>
    <w:rsid w:val="00EC1BE8"/>
    <w:rsid w:val="00EC2422"/>
    <w:rsid w:val="00EC34CB"/>
    <w:rsid w:val="00EC4A25"/>
    <w:rsid w:val="00EC5EE0"/>
    <w:rsid w:val="00EC6099"/>
    <w:rsid w:val="00EC663E"/>
    <w:rsid w:val="00EC76BD"/>
    <w:rsid w:val="00ED19E3"/>
    <w:rsid w:val="00ED1C74"/>
    <w:rsid w:val="00ED215B"/>
    <w:rsid w:val="00ED2429"/>
    <w:rsid w:val="00ED2C46"/>
    <w:rsid w:val="00ED6478"/>
    <w:rsid w:val="00EE25E3"/>
    <w:rsid w:val="00EE3290"/>
    <w:rsid w:val="00EE3E02"/>
    <w:rsid w:val="00EF27C1"/>
    <w:rsid w:val="00EF304D"/>
    <w:rsid w:val="00EF3419"/>
    <w:rsid w:val="00EF46C6"/>
    <w:rsid w:val="00EF4BF0"/>
    <w:rsid w:val="00EF582D"/>
    <w:rsid w:val="00EF5E82"/>
    <w:rsid w:val="00EF612C"/>
    <w:rsid w:val="00EF7869"/>
    <w:rsid w:val="00F0136F"/>
    <w:rsid w:val="00F01E5C"/>
    <w:rsid w:val="00F025A2"/>
    <w:rsid w:val="00F025CC"/>
    <w:rsid w:val="00F02864"/>
    <w:rsid w:val="00F02B2E"/>
    <w:rsid w:val="00F02D23"/>
    <w:rsid w:val="00F036E9"/>
    <w:rsid w:val="00F03AF1"/>
    <w:rsid w:val="00F04ED1"/>
    <w:rsid w:val="00F05492"/>
    <w:rsid w:val="00F062D0"/>
    <w:rsid w:val="00F07388"/>
    <w:rsid w:val="00F1122D"/>
    <w:rsid w:val="00F12738"/>
    <w:rsid w:val="00F13522"/>
    <w:rsid w:val="00F14C8A"/>
    <w:rsid w:val="00F1551A"/>
    <w:rsid w:val="00F16C00"/>
    <w:rsid w:val="00F17F6B"/>
    <w:rsid w:val="00F2026E"/>
    <w:rsid w:val="00F20F0C"/>
    <w:rsid w:val="00F21411"/>
    <w:rsid w:val="00F2210A"/>
    <w:rsid w:val="00F23146"/>
    <w:rsid w:val="00F23AD2"/>
    <w:rsid w:val="00F26CA0"/>
    <w:rsid w:val="00F3001B"/>
    <w:rsid w:val="00F30650"/>
    <w:rsid w:val="00F31372"/>
    <w:rsid w:val="00F32004"/>
    <w:rsid w:val="00F3208F"/>
    <w:rsid w:val="00F337EB"/>
    <w:rsid w:val="00F361E6"/>
    <w:rsid w:val="00F37743"/>
    <w:rsid w:val="00F40245"/>
    <w:rsid w:val="00F40C2F"/>
    <w:rsid w:val="00F412CB"/>
    <w:rsid w:val="00F41CCB"/>
    <w:rsid w:val="00F42493"/>
    <w:rsid w:val="00F42A9D"/>
    <w:rsid w:val="00F42F9C"/>
    <w:rsid w:val="00F4426B"/>
    <w:rsid w:val="00F458AC"/>
    <w:rsid w:val="00F472B9"/>
    <w:rsid w:val="00F51293"/>
    <w:rsid w:val="00F51629"/>
    <w:rsid w:val="00F51B54"/>
    <w:rsid w:val="00F54A3D"/>
    <w:rsid w:val="00F54CB0"/>
    <w:rsid w:val="00F55ED5"/>
    <w:rsid w:val="00F563B5"/>
    <w:rsid w:val="00F579CD"/>
    <w:rsid w:val="00F60C51"/>
    <w:rsid w:val="00F611B7"/>
    <w:rsid w:val="00F63F6B"/>
    <w:rsid w:val="00F640A4"/>
    <w:rsid w:val="00F64161"/>
    <w:rsid w:val="00F653B8"/>
    <w:rsid w:val="00F65AF1"/>
    <w:rsid w:val="00F71B27"/>
    <w:rsid w:val="00F71B89"/>
    <w:rsid w:val="00F7233D"/>
    <w:rsid w:val="00F7290D"/>
    <w:rsid w:val="00F7353C"/>
    <w:rsid w:val="00F750DD"/>
    <w:rsid w:val="00F76073"/>
    <w:rsid w:val="00F76F8F"/>
    <w:rsid w:val="00F81093"/>
    <w:rsid w:val="00F81BCD"/>
    <w:rsid w:val="00F8342A"/>
    <w:rsid w:val="00F84954"/>
    <w:rsid w:val="00F86FFE"/>
    <w:rsid w:val="00F87048"/>
    <w:rsid w:val="00F87257"/>
    <w:rsid w:val="00F87631"/>
    <w:rsid w:val="00F8784A"/>
    <w:rsid w:val="00F9038A"/>
    <w:rsid w:val="00F90697"/>
    <w:rsid w:val="00F909CF"/>
    <w:rsid w:val="00F94138"/>
    <w:rsid w:val="00F941DF"/>
    <w:rsid w:val="00F94A16"/>
    <w:rsid w:val="00F94A6A"/>
    <w:rsid w:val="00F94BF0"/>
    <w:rsid w:val="00F94F2F"/>
    <w:rsid w:val="00F96BD2"/>
    <w:rsid w:val="00F978D3"/>
    <w:rsid w:val="00F97B38"/>
    <w:rsid w:val="00FA0496"/>
    <w:rsid w:val="00FA1266"/>
    <w:rsid w:val="00FA439B"/>
    <w:rsid w:val="00FA66BA"/>
    <w:rsid w:val="00FA6DB2"/>
    <w:rsid w:val="00FA7C46"/>
    <w:rsid w:val="00FB24BF"/>
    <w:rsid w:val="00FB2F56"/>
    <w:rsid w:val="00FB3333"/>
    <w:rsid w:val="00FB36FA"/>
    <w:rsid w:val="00FB478B"/>
    <w:rsid w:val="00FB6F81"/>
    <w:rsid w:val="00FC1192"/>
    <w:rsid w:val="00FC16F2"/>
    <w:rsid w:val="00FC1845"/>
    <w:rsid w:val="00FC24AC"/>
    <w:rsid w:val="00FC2932"/>
    <w:rsid w:val="00FC4DAC"/>
    <w:rsid w:val="00FC6A6B"/>
    <w:rsid w:val="00FC6EBB"/>
    <w:rsid w:val="00FD0263"/>
    <w:rsid w:val="00FD180C"/>
    <w:rsid w:val="00FD1B7C"/>
    <w:rsid w:val="00FD2F99"/>
    <w:rsid w:val="00FD4B33"/>
    <w:rsid w:val="00FD63E5"/>
    <w:rsid w:val="00FD6DD4"/>
    <w:rsid w:val="00FE106D"/>
    <w:rsid w:val="00FE1F3B"/>
    <w:rsid w:val="00FE251B"/>
    <w:rsid w:val="00FE311B"/>
    <w:rsid w:val="00FE3AEB"/>
    <w:rsid w:val="00FE419B"/>
    <w:rsid w:val="00FE4644"/>
    <w:rsid w:val="00FF00AA"/>
    <w:rsid w:val="00FF00F4"/>
    <w:rsid w:val="00FF24B9"/>
    <w:rsid w:val="00FF262D"/>
    <w:rsid w:val="00FF4476"/>
    <w:rsid w:val="00FF4584"/>
    <w:rsid w:val="00FF4B56"/>
    <w:rsid w:val="00FF4C07"/>
    <w:rsid w:val="00FF4EBA"/>
    <w:rsid w:val="00FF5207"/>
    <w:rsid w:val="00FF6256"/>
    <w:rsid w:val="00FF6985"/>
    <w:rsid w:val="00FF7898"/>
    <w:rsid w:val="01A7E3B1"/>
    <w:rsid w:val="0B1A712A"/>
    <w:rsid w:val="16E1CD0F"/>
    <w:rsid w:val="26D2E099"/>
    <w:rsid w:val="2C01DC4E"/>
    <w:rsid w:val="3F5084F5"/>
    <w:rsid w:val="48C7F777"/>
    <w:rsid w:val="4A488ECE"/>
    <w:rsid w:val="4FA51E37"/>
    <w:rsid w:val="5B99D902"/>
    <w:rsid w:val="5E9DE8B1"/>
    <w:rsid w:val="793C95A8"/>
    <w:rsid w:val="7A52A43E"/>
    <w:rsid w:val="7A7F2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B466D72-F422-4548-9C05-095BE9B02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Footer">
    <w:name w:val="footer"/>
    <w:basedOn w:val="Normal"/>
    <w:link w:val="FooterChar"/>
    <w:rsid w:val="00AF51D7"/>
    <w:pPr>
      <w:tabs>
        <w:tab w:val="center" w:pos="4680"/>
        <w:tab w:val="right" w:pos="9360"/>
      </w:tabs>
      <w:spacing w:after="0"/>
    </w:pPr>
  </w:style>
  <w:style w:type="character" w:customStyle="1" w:styleId="FooterChar">
    <w:name w:val="Footer Char"/>
    <w:basedOn w:val="DefaultParagraphFont"/>
    <w:link w:val="Footer"/>
    <w:rsid w:val="00AF51D7"/>
    <w:rPr>
      <w:lang w:eastAsia="en-US"/>
    </w:rPr>
  </w:style>
  <w:style w:type="paragraph" w:styleId="ListParagraph">
    <w:name w:val="List Paragraph"/>
    <w:basedOn w:val="Normal"/>
    <w:uiPriority w:val="34"/>
    <w:qFormat/>
    <w:rsid w:val="00CF47B7"/>
    <w:pPr>
      <w:ind w:left="720"/>
      <w:contextualSpacing/>
    </w:pPr>
  </w:style>
  <w:style w:type="character" w:styleId="Mention">
    <w:name w:val="Mention"/>
    <w:basedOn w:val="DefaultParagraphFont"/>
    <w:uiPriority w:val="99"/>
    <w:unhideWhenUsed/>
    <w:rsid w:val="00E31EC3"/>
    <w:rPr>
      <w:color w:val="2B579A"/>
      <w:shd w:val="clear" w:color="auto" w:fill="E1DFDD"/>
    </w:rPr>
  </w:style>
  <w:style w:type="paragraph" w:styleId="Revision">
    <w:name w:val="Revision"/>
    <w:hidden/>
    <w:uiPriority w:val="99"/>
    <w:semiHidden/>
    <w:rsid w:val="000439B0"/>
    <w:rPr>
      <w:lang w:eastAsia="en-US"/>
    </w:rPr>
  </w:style>
  <w:style w:type="character" w:styleId="UnresolvedMention">
    <w:name w:val="Unresolved Mention"/>
    <w:basedOn w:val="DefaultParagraphFont"/>
    <w:rsid w:val="00824766"/>
    <w:rPr>
      <w:color w:val="605E5C"/>
      <w:shd w:val="clear" w:color="auto" w:fill="E1DFDD"/>
    </w:rPr>
  </w:style>
  <w:style w:type="paragraph" w:styleId="BalloonText">
    <w:name w:val="Balloon Text"/>
    <w:basedOn w:val="Normal"/>
    <w:link w:val="BalloonTextChar"/>
    <w:semiHidden/>
    <w:unhideWhenUsed/>
    <w:rsid w:val="00CD30A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D30A0"/>
    <w:rPr>
      <w:rFonts w:ascii="Segoe UI" w:hAnsi="Segoe UI" w:cs="Segoe UI"/>
      <w:sz w:val="18"/>
      <w:szCs w:val="18"/>
      <w:lang w:eastAsia="en-US"/>
    </w:rPr>
  </w:style>
  <w:style w:type="paragraph" w:styleId="BlockText">
    <w:name w:val="Block Text"/>
    <w:basedOn w:val="Normal"/>
    <w:rsid w:val="00CD30A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CD30A0"/>
    <w:pPr>
      <w:spacing w:after="120"/>
    </w:pPr>
  </w:style>
  <w:style w:type="character" w:customStyle="1" w:styleId="BodyTextChar">
    <w:name w:val="Body Text Char"/>
    <w:basedOn w:val="DefaultParagraphFont"/>
    <w:link w:val="BodyText"/>
    <w:rsid w:val="00CD30A0"/>
    <w:rPr>
      <w:lang w:eastAsia="en-US"/>
    </w:rPr>
  </w:style>
  <w:style w:type="paragraph" w:styleId="BodyText2">
    <w:name w:val="Body Text 2"/>
    <w:basedOn w:val="Normal"/>
    <w:link w:val="BodyText2Char"/>
    <w:rsid w:val="00CD30A0"/>
    <w:pPr>
      <w:spacing w:after="120" w:line="480" w:lineRule="auto"/>
    </w:pPr>
  </w:style>
  <w:style w:type="character" w:customStyle="1" w:styleId="BodyText2Char">
    <w:name w:val="Body Text 2 Char"/>
    <w:basedOn w:val="DefaultParagraphFont"/>
    <w:link w:val="BodyText2"/>
    <w:rsid w:val="00CD30A0"/>
    <w:rPr>
      <w:lang w:eastAsia="en-US"/>
    </w:rPr>
  </w:style>
  <w:style w:type="paragraph" w:styleId="BodyText3">
    <w:name w:val="Body Text 3"/>
    <w:basedOn w:val="Normal"/>
    <w:link w:val="BodyText3Char"/>
    <w:rsid w:val="00CD30A0"/>
    <w:pPr>
      <w:spacing w:after="120"/>
    </w:pPr>
    <w:rPr>
      <w:sz w:val="16"/>
      <w:szCs w:val="16"/>
    </w:rPr>
  </w:style>
  <w:style w:type="character" w:customStyle="1" w:styleId="BodyText3Char">
    <w:name w:val="Body Text 3 Char"/>
    <w:basedOn w:val="DefaultParagraphFont"/>
    <w:link w:val="BodyText3"/>
    <w:rsid w:val="00CD30A0"/>
    <w:rPr>
      <w:sz w:val="16"/>
      <w:szCs w:val="16"/>
      <w:lang w:eastAsia="en-US"/>
    </w:rPr>
  </w:style>
  <w:style w:type="paragraph" w:styleId="BodyTextFirstIndent">
    <w:name w:val="Body Text First Indent"/>
    <w:basedOn w:val="BodyText"/>
    <w:link w:val="BodyTextFirstIndentChar"/>
    <w:rsid w:val="00CD30A0"/>
    <w:pPr>
      <w:spacing w:after="180"/>
      <w:ind w:firstLine="360"/>
    </w:pPr>
  </w:style>
  <w:style w:type="character" w:customStyle="1" w:styleId="BodyTextFirstIndentChar">
    <w:name w:val="Body Text First Indent Char"/>
    <w:basedOn w:val="BodyTextChar"/>
    <w:link w:val="BodyTextFirstIndent"/>
    <w:rsid w:val="00CD30A0"/>
    <w:rPr>
      <w:lang w:eastAsia="en-US"/>
    </w:rPr>
  </w:style>
  <w:style w:type="paragraph" w:styleId="BodyTextIndent">
    <w:name w:val="Body Text Indent"/>
    <w:basedOn w:val="Normal"/>
    <w:link w:val="BodyTextIndentChar"/>
    <w:rsid w:val="00CD30A0"/>
    <w:pPr>
      <w:spacing w:after="120"/>
      <w:ind w:left="283"/>
    </w:pPr>
  </w:style>
  <w:style w:type="character" w:customStyle="1" w:styleId="BodyTextIndentChar">
    <w:name w:val="Body Text Indent Char"/>
    <w:basedOn w:val="DefaultParagraphFont"/>
    <w:link w:val="BodyTextIndent"/>
    <w:rsid w:val="00CD30A0"/>
    <w:rPr>
      <w:lang w:eastAsia="en-US"/>
    </w:rPr>
  </w:style>
  <w:style w:type="paragraph" w:styleId="BodyTextFirstIndent2">
    <w:name w:val="Body Text First Indent 2"/>
    <w:basedOn w:val="BodyTextIndent"/>
    <w:link w:val="BodyTextFirstIndent2Char"/>
    <w:rsid w:val="00CD30A0"/>
    <w:pPr>
      <w:spacing w:after="180"/>
      <w:ind w:left="360" w:firstLine="360"/>
    </w:pPr>
  </w:style>
  <w:style w:type="character" w:customStyle="1" w:styleId="BodyTextFirstIndent2Char">
    <w:name w:val="Body Text First Indent 2 Char"/>
    <w:basedOn w:val="BodyTextIndentChar"/>
    <w:link w:val="BodyTextFirstIndent2"/>
    <w:rsid w:val="00CD30A0"/>
    <w:rPr>
      <w:lang w:eastAsia="en-US"/>
    </w:rPr>
  </w:style>
  <w:style w:type="paragraph" w:styleId="BodyTextIndent2">
    <w:name w:val="Body Text Indent 2"/>
    <w:basedOn w:val="Normal"/>
    <w:link w:val="BodyTextIndent2Char"/>
    <w:rsid w:val="00CD30A0"/>
    <w:pPr>
      <w:spacing w:after="120" w:line="480" w:lineRule="auto"/>
      <w:ind w:left="283"/>
    </w:pPr>
  </w:style>
  <w:style w:type="character" w:customStyle="1" w:styleId="BodyTextIndent2Char">
    <w:name w:val="Body Text Indent 2 Char"/>
    <w:basedOn w:val="DefaultParagraphFont"/>
    <w:link w:val="BodyTextIndent2"/>
    <w:rsid w:val="00CD30A0"/>
    <w:rPr>
      <w:lang w:eastAsia="en-US"/>
    </w:rPr>
  </w:style>
  <w:style w:type="paragraph" w:styleId="BodyTextIndent3">
    <w:name w:val="Body Text Indent 3"/>
    <w:basedOn w:val="Normal"/>
    <w:link w:val="BodyTextIndent3Char"/>
    <w:rsid w:val="00CD30A0"/>
    <w:pPr>
      <w:spacing w:after="120"/>
      <w:ind w:left="283"/>
    </w:pPr>
    <w:rPr>
      <w:sz w:val="16"/>
      <w:szCs w:val="16"/>
    </w:rPr>
  </w:style>
  <w:style w:type="character" w:customStyle="1" w:styleId="BodyTextIndent3Char">
    <w:name w:val="Body Text Indent 3 Char"/>
    <w:basedOn w:val="DefaultParagraphFont"/>
    <w:link w:val="BodyTextIndent3"/>
    <w:rsid w:val="00CD30A0"/>
    <w:rPr>
      <w:sz w:val="16"/>
      <w:szCs w:val="16"/>
      <w:lang w:eastAsia="en-US"/>
    </w:rPr>
  </w:style>
  <w:style w:type="paragraph" w:styleId="Closing">
    <w:name w:val="Closing"/>
    <w:basedOn w:val="Normal"/>
    <w:link w:val="ClosingChar"/>
    <w:rsid w:val="00CD30A0"/>
    <w:pPr>
      <w:spacing w:after="0"/>
      <w:ind w:left="4252"/>
    </w:pPr>
  </w:style>
  <w:style w:type="character" w:customStyle="1" w:styleId="ClosingChar">
    <w:name w:val="Closing Char"/>
    <w:basedOn w:val="DefaultParagraphFont"/>
    <w:link w:val="Closing"/>
    <w:rsid w:val="00CD30A0"/>
    <w:rPr>
      <w:lang w:eastAsia="en-US"/>
    </w:rPr>
  </w:style>
  <w:style w:type="paragraph" w:styleId="Date">
    <w:name w:val="Date"/>
    <w:basedOn w:val="Normal"/>
    <w:next w:val="Normal"/>
    <w:link w:val="DateChar"/>
    <w:rsid w:val="00CD30A0"/>
  </w:style>
  <w:style w:type="character" w:customStyle="1" w:styleId="DateChar">
    <w:name w:val="Date Char"/>
    <w:basedOn w:val="DefaultParagraphFont"/>
    <w:link w:val="Date"/>
    <w:rsid w:val="00CD30A0"/>
    <w:rPr>
      <w:lang w:eastAsia="en-US"/>
    </w:rPr>
  </w:style>
  <w:style w:type="paragraph" w:styleId="DocumentMap">
    <w:name w:val="Document Map"/>
    <w:basedOn w:val="Normal"/>
    <w:link w:val="DocumentMapChar"/>
    <w:rsid w:val="00CD30A0"/>
    <w:pPr>
      <w:spacing w:after="0"/>
    </w:pPr>
    <w:rPr>
      <w:rFonts w:ascii="Segoe UI" w:hAnsi="Segoe UI" w:cs="Segoe UI"/>
      <w:sz w:val="16"/>
      <w:szCs w:val="16"/>
    </w:rPr>
  </w:style>
  <w:style w:type="character" w:customStyle="1" w:styleId="DocumentMapChar">
    <w:name w:val="Document Map Char"/>
    <w:basedOn w:val="DefaultParagraphFont"/>
    <w:link w:val="DocumentMap"/>
    <w:rsid w:val="00CD30A0"/>
    <w:rPr>
      <w:rFonts w:ascii="Segoe UI" w:hAnsi="Segoe UI" w:cs="Segoe UI"/>
      <w:sz w:val="16"/>
      <w:szCs w:val="16"/>
      <w:lang w:eastAsia="en-US"/>
    </w:rPr>
  </w:style>
  <w:style w:type="paragraph" w:styleId="E-mailSignature">
    <w:name w:val="E-mail Signature"/>
    <w:basedOn w:val="Normal"/>
    <w:link w:val="E-mailSignatureChar"/>
    <w:rsid w:val="00CD30A0"/>
    <w:pPr>
      <w:spacing w:after="0"/>
    </w:pPr>
  </w:style>
  <w:style w:type="character" w:customStyle="1" w:styleId="E-mailSignatureChar">
    <w:name w:val="E-mail Signature Char"/>
    <w:basedOn w:val="DefaultParagraphFont"/>
    <w:link w:val="E-mailSignature"/>
    <w:rsid w:val="00CD30A0"/>
    <w:rPr>
      <w:lang w:eastAsia="en-US"/>
    </w:rPr>
  </w:style>
  <w:style w:type="paragraph" w:styleId="EndnoteText">
    <w:name w:val="endnote text"/>
    <w:basedOn w:val="Normal"/>
    <w:link w:val="EndnoteTextChar"/>
    <w:rsid w:val="00CD30A0"/>
    <w:pPr>
      <w:spacing w:after="0"/>
    </w:pPr>
  </w:style>
  <w:style w:type="character" w:customStyle="1" w:styleId="EndnoteTextChar">
    <w:name w:val="Endnote Text Char"/>
    <w:basedOn w:val="DefaultParagraphFont"/>
    <w:link w:val="EndnoteText"/>
    <w:rsid w:val="00CD30A0"/>
    <w:rPr>
      <w:lang w:eastAsia="en-US"/>
    </w:rPr>
  </w:style>
  <w:style w:type="paragraph" w:styleId="EnvelopeAddress">
    <w:name w:val="envelope address"/>
    <w:basedOn w:val="Normal"/>
    <w:rsid w:val="00CD30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30A0"/>
    <w:pPr>
      <w:spacing w:after="0"/>
    </w:pPr>
    <w:rPr>
      <w:rFonts w:asciiTheme="majorHAnsi" w:eastAsiaTheme="majorEastAsia" w:hAnsiTheme="majorHAnsi" w:cstheme="majorBidi"/>
    </w:rPr>
  </w:style>
  <w:style w:type="paragraph" w:styleId="FootnoteText">
    <w:name w:val="footnote text"/>
    <w:basedOn w:val="Normal"/>
    <w:link w:val="FootnoteTextChar"/>
    <w:rsid w:val="00CD30A0"/>
    <w:pPr>
      <w:spacing w:after="0"/>
    </w:pPr>
  </w:style>
  <w:style w:type="character" w:customStyle="1" w:styleId="FootnoteTextChar">
    <w:name w:val="Footnote Text Char"/>
    <w:basedOn w:val="DefaultParagraphFont"/>
    <w:link w:val="FootnoteText"/>
    <w:rsid w:val="00CD30A0"/>
    <w:rPr>
      <w:lang w:eastAsia="en-US"/>
    </w:rPr>
  </w:style>
  <w:style w:type="paragraph" w:styleId="HTMLAddress">
    <w:name w:val="HTML Address"/>
    <w:basedOn w:val="Normal"/>
    <w:link w:val="HTMLAddressChar"/>
    <w:rsid w:val="00CD30A0"/>
    <w:pPr>
      <w:spacing w:after="0"/>
    </w:pPr>
    <w:rPr>
      <w:i/>
      <w:iCs/>
    </w:rPr>
  </w:style>
  <w:style w:type="character" w:customStyle="1" w:styleId="HTMLAddressChar">
    <w:name w:val="HTML Address Char"/>
    <w:basedOn w:val="DefaultParagraphFont"/>
    <w:link w:val="HTMLAddress"/>
    <w:rsid w:val="00CD30A0"/>
    <w:rPr>
      <w:i/>
      <w:iCs/>
      <w:lang w:eastAsia="en-US"/>
    </w:rPr>
  </w:style>
  <w:style w:type="paragraph" w:styleId="HTMLPreformatted">
    <w:name w:val="HTML Preformatted"/>
    <w:basedOn w:val="Normal"/>
    <w:link w:val="HTMLPreformattedChar"/>
    <w:rsid w:val="00CD30A0"/>
    <w:pPr>
      <w:spacing w:after="0"/>
    </w:pPr>
    <w:rPr>
      <w:rFonts w:ascii="Consolas" w:hAnsi="Consolas"/>
    </w:rPr>
  </w:style>
  <w:style w:type="character" w:customStyle="1" w:styleId="HTMLPreformattedChar">
    <w:name w:val="HTML Preformatted Char"/>
    <w:basedOn w:val="DefaultParagraphFont"/>
    <w:link w:val="HTMLPreformatted"/>
    <w:rsid w:val="00CD30A0"/>
    <w:rPr>
      <w:rFonts w:ascii="Consolas" w:hAnsi="Consolas"/>
      <w:lang w:eastAsia="en-US"/>
    </w:rPr>
  </w:style>
  <w:style w:type="paragraph" w:styleId="Index1">
    <w:name w:val="index 1"/>
    <w:basedOn w:val="Normal"/>
    <w:next w:val="Normal"/>
    <w:rsid w:val="00CD30A0"/>
    <w:pPr>
      <w:spacing w:after="0"/>
      <w:ind w:left="200" w:hanging="200"/>
    </w:pPr>
  </w:style>
  <w:style w:type="paragraph" w:styleId="Index2">
    <w:name w:val="index 2"/>
    <w:basedOn w:val="Normal"/>
    <w:next w:val="Normal"/>
    <w:rsid w:val="00CD30A0"/>
    <w:pPr>
      <w:spacing w:after="0"/>
      <w:ind w:left="400" w:hanging="200"/>
    </w:pPr>
  </w:style>
  <w:style w:type="paragraph" w:styleId="Index3">
    <w:name w:val="index 3"/>
    <w:basedOn w:val="Normal"/>
    <w:next w:val="Normal"/>
    <w:rsid w:val="00CD30A0"/>
    <w:pPr>
      <w:spacing w:after="0"/>
      <w:ind w:left="600" w:hanging="200"/>
    </w:pPr>
  </w:style>
  <w:style w:type="paragraph" w:styleId="Index4">
    <w:name w:val="index 4"/>
    <w:basedOn w:val="Normal"/>
    <w:next w:val="Normal"/>
    <w:rsid w:val="00CD30A0"/>
    <w:pPr>
      <w:spacing w:after="0"/>
      <w:ind w:left="800" w:hanging="200"/>
    </w:pPr>
  </w:style>
  <w:style w:type="paragraph" w:styleId="Index5">
    <w:name w:val="index 5"/>
    <w:basedOn w:val="Normal"/>
    <w:next w:val="Normal"/>
    <w:rsid w:val="00CD30A0"/>
    <w:pPr>
      <w:spacing w:after="0"/>
      <w:ind w:left="1000" w:hanging="200"/>
    </w:pPr>
  </w:style>
  <w:style w:type="paragraph" w:styleId="Index6">
    <w:name w:val="index 6"/>
    <w:basedOn w:val="Normal"/>
    <w:next w:val="Normal"/>
    <w:rsid w:val="00CD30A0"/>
    <w:pPr>
      <w:spacing w:after="0"/>
      <w:ind w:left="1200" w:hanging="200"/>
    </w:pPr>
  </w:style>
  <w:style w:type="paragraph" w:styleId="Index7">
    <w:name w:val="index 7"/>
    <w:basedOn w:val="Normal"/>
    <w:next w:val="Normal"/>
    <w:rsid w:val="00CD30A0"/>
    <w:pPr>
      <w:spacing w:after="0"/>
      <w:ind w:left="1400" w:hanging="200"/>
    </w:pPr>
  </w:style>
  <w:style w:type="paragraph" w:styleId="Index8">
    <w:name w:val="index 8"/>
    <w:basedOn w:val="Normal"/>
    <w:next w:val="Normal"/>
    <w:rsid w:val="00CD30A0"/>
    <w:pPr>
      <w:spacing w:after="0"/>
      <w:ind w:left="1600" w:hanging="200"/>
    </w:pPr>
  </w:style>
  <w:style w:type="paragraph" w:styleId="Index9">
    <w:name w:val="index 9"/>
    <w:basedOn w:val="Normal"/>
    <w:next w:val="Normal"/>
    <w:rsid w:val="00CD30A0"/>
    <w:pPr>
      <w:spacing w:after="0"/>
      <w:ind w:left="1800" w:hanging="200"/>
    </w:pPr>
  </w:style>
  <w:style w:type="paragraph" w:styleId="IndexHeading">
    <w:name w:val="index heading"/>
    <w:basedOn w:val="Normal"/>
    <w:next w:val="Index1"/>
    <w:rsid w:val="00CD30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30A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D30A0"/>
    <w:rPr>
      <w:i/>
      <w:iCs/>
      <w:color w:val="5B9BD5" w:themeColor="accent1"/>
      <w:lang w:eastAsia="en-US"/>
    </w:rPr>
  </w:style>
  <w:style w:type="paragraph" w:styleId="List">
    <w:name w:val="List"/>
    <w:basedOn w:val="Normal"/>
    <w:rsid w:val="00CD30A0"/>
    <w:pPr>
      <w:ind w:left="283" w:hanging="283"/>
      <w:contextualSpacing/>
    </w:pPr>
  </w:style>
  <w:style w:type="paragraph" w:styleId="List2">
    <w:name w:val="List 2"/>
    <w:basedOn w:val="Normal"/>
    <w:rsid w:val="00CD30A0"/>
    <w:pPr>
      <w:ind w:left="566" w:hanging="283"/>
      <w:contextualSpacing/>
    </w:pPr>
  </w:style>
  <w:style w:type="paragraph" w:styleId="List3">
    <w:name w:val="List 3"/>
    <w:basedOn w:val="Normal"/>
    <w:rsid w:val="00CD30A0"/>
    <w:pPr>
      <w:ind w:left="849" w:hanging="283"/>
      <w:contextualSpacing/>
    </w:pPr>
  </w:style>
  <w:style w:type="paragraph" w:styleId="List4">
    <w:name w:val="List 4"/>
    <w:basedOn w:val="Normal"/>
    <w:rsid w:val="00CD30A0"/>
    <w:pPr>
      <w:ind w:left="1132" w:hanging="283"/>
      <w:contextualSpacing/>
    </w:pPr>
  </w:style>
  <w:style w:type="paragraph" w:styleId="List5">
    <w:name w:val="List 5"/>
    <w:basedOn w:val="Normal"/>
    <w:rsid w:val="00CD30A0"/>
    <w:pPr>
      <w:ind w:left="1415" w:hanging="283"/>
      <w:contextualSpacing/>
    </w:pPr>
  </w:style>
  <w:style w:type="paragraph" w:styleId="ListBullet">
    <w:name w:val="List Bullet"/>
    <w:basedOn w:val="Normal"/>
    <w:rsid w:val="00CD30A0"/>
    <w:pPr>
      <w:numPr>
        <w:numId w:val="8"/>
      </w:numPr>
      <w:contextualSpacing/>
    </w:pPr>
  </w:style>
  <w:style w:type="paragraph" w:styleId="ListBullet2">
    <w:name w:val="List Bullet 2"/>
    <w:basedOn w:val="Normal"/>
    <w:rsid w:val="00CD30A0"/>
    <w:pPr>
      <w:numPr>
        <w:numId w:val="9"/>
      </w:numPr>
      <w:contextualSpacing/>
    </w:pPr>
  </w:style>
  <w:style w:type="paragraph" w:styleId="ListBullet3">
    <w:name w:val="List Bullet 3"/>
    <w:basedOn w:val="Normal"/>
    <w:rsid w:val="00CD30A0"/>
    <w:pPr>
      <w:numPr>
        <w:numId w:val="10"/>
      </w:numPr>
      <w:contextualSpacing/>
    </w:pPr>
  </w:style>
  <w:style w:type="paragraph" w:styleId="ListBullet4">
    <w:name w:val="List Bullet 4"/>
    <w:basedOn w:val="Normal"/>
    <w:rsid w:val="00CD30A0"/>
    <w:pPr>
      <w:numPr>
        <w:numId w:val="11"/>
      </w:numPr>
      <w:contextualSpacing/>
    </w:pPr>
  </w:style>
  <w:style w:type="paragraph" w:styleId="ListBullet5">
    <w:name w:val="List Bullet 5"/>
    <w:basedOn w:val="Normal"/>
    <w:rsid w:val="00CD30A0"/>
    <w:pPr>
      <w:numPr>
        <w:numId w:val="12"/>
      </w:numPr>
      <w:contextualSpacing/>
    </w:pPr>
  </w:style>
  <w:style w:type="paragraph" w:styleId="ListContinue">
    <w:name w:val="List Continue"/>
    <w:basedOn w:val="Normal"/>
    <w:rsid w:val="00CD30A0"/>
    <w:pPr>
      <w:spacing w:after="120"/>
      <w:ind w:left="283"/>
      <w:contextualSpacing/>
    </w:pPr>
  </w:style>
  <w:style w:type="paragraph" w:styleId="ListContinue2">
    <w:name w:val="List Continue 2"/>
    <w:basedOn w:val="Normal"/>
    <w:rsid w:val="00CD30A0"/>
    <w:pPr>
      <w:spacing w:after="120"/>
      <w:ind w:left="566"/>
      <w:contextualSpacing/>
    </w:pPr>
  </w:style>
  <w:style w:type="paragraph" w:styleId="ListContinue3">
    <w:name w:val="List Continue 3"/>
    <w:basedOn w:val="Normal"/>
    <w:rsid w:val="00CD30A0"/>
    <w:pPr>
      <w:spacing w:after="120"/>
      <w:ind w:left="849"/>
      <w:contextualSpacing/>
    </w:pPr>
  </w:style>
  <w:style w:type="paragraph" w:styleId="ListContinue4">
    <w:name w:val="List Continue 4"/>
    <w:basedOn w:val="Normal"/>
    <w:rsid w:val="00CD30A0"/>
    <w:pPr>
      <w:spacing w:after="120"/>
      <w:ind w:left="1132"/>
      <w:contextualSpacing/>
    </w:pPr>
  </w:style>
  <w:style w:type="paragraph" w:styleId="ListContinue5">
    <w:name w:val="List Continue 5"/>
    <w:basedOn w:val="Normal"/>
    <w:rsid w:val="00CD30A0"/>
    <w:pPr>
      <w:spacing w:after="120"/>
      <w:ind w:left="1415"/>
      <w:contextualSpacing/>
    </w:pPr>
  </w:style>
  <w:style w:type="paragraph" w:styleId="ListNumber">
    <w:name w:val="List Number"/>
    <w:basedOn w:val="Normal"/>
    <w:rsid w:val="00CD30A0"/>
    <w:pPr>
      <w:numPr>
        <w:numId w:val="26"/>
      </w:numPr>
      <w:contextualSpacing/>
    </w:pPr>
  </w:style>
  <w:style w:type="paragraph" w:styleId="ListNumber2">
    <w:name w:val="List Number 2"/>
    <w:basedOn w:val="Normal"/>
    <w:rsid w:val="00CD30A0"/>
    <w:pPr>
      <w:numPr>
        <w:numId w:val="27"/>
      </w:numPr>
      <w:contextualSpacing/>
    </w:pPr>
  </w:style>
  <w:style w:type="paragraph" w:styleId="ListNumber3">
    <w:name w:val="List Number 3"/>
    <w:basedOn w:val="Normal"/>
    <w:rsid w:val="00CD30A0"/>
    <w:pPr>
      <w:numPr>
        <w:numId w:val="28"/>
      </w:numPr>
      <w:contextualSpacing/>
    </w:pPr>
  </w:style>
  <w:style w:type="paragraph" w:styleId="MessageHeader">
    <w:name w:val="Message Header"/>
    <w:basedOn w:val="Normal"/>
    <w:link w:val="MessageHeaderChar"/>
    <w:rsid w:val="00CD30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30A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30A0"/>
    <w:rPr>
      <w:lang w:eastAsia="en-US"/>
    </w:rPr>
  </w:style>
  <w:style w:type="paragraph" w:styleId="NormalWeb">
    <w:name w:val="Normal (Web)"/>
    <w:basedOn w:val="Normal"/>
    <w:rsid w:val="00CD30A0"/>
    <w:rPr>
      <w:sz w:val="24"/>
      <w:szCs w:val="24"/>
    </w:rPr>
  </w:style>
  <w:style w:type="paragraph" w:styleId="Quote">
    <w:name w:val="Quote"/>
    <w:basedOn w:val="Normal"/>
    <w:next w:val="Normal"/>
    <w:link w:val="QuoteChar"/>
    <w:uiPriority w:val="29"/>
    <w:qFormat/>
    <w:rsid w:val="00CD30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30A0"/>
    <w:rPr>
      <w:i/>
      <w:iCs/>
      <w:color w:val="404040" w:themeColor="text1" w:themeTint="BF"/>
      <w:lang w:eastAsia="en-US"/>
    </w:rPr>
  </w:style>
  <w:style w:type="paragraph" w:styleId="Subtitle">
    <w:name w:val="Subtitle"/>
    <w:basedOn w:val="Normal"/>
    <w:next w:val="Normal"/>
    <w:link w:val="SubtitleChar"/>
    <w:qFormat/>
    <w:rsid w:val="00CD30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30A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30A0"/>
    <w:pPr>
      <w:spacing w:after="0"/>
      <w:ind w:left="200" w:hanging="200"/>
    </w:pPr>
  </w:style>
  <w:style w:type="paragraph" w:styleId="TableofFigures">
    <w:name w:val="table of figures"/>
    <w:basedOn w:val="Normal"/>
    <w:next w:val="Normal"/>
    <w:rsid w:val="00CD30A0"/>
    <w:pPr>
      <w:spacing w:after="0"/>
    </w:pPr>
  </w:style>
  <w:style w:type="paragraph" w:styleId="Title">
    <w:name w:val="Title"/>
    <w:basedOn w:val="Normal"/>
    <w:next w:val="Normal"/>
    <w:link w:val="TitleChar"/>
    <w:qFormat/>
    <w:rsid w:val="00CD30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30A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30A0"/>
    <w:pPr>
      <w:spacing w:before="120"/>
    </w:pPr>
    <w:rPr>
      <w:rFonts w:asciiTheme="majorHAnsi" w:eastAsiaTheme="majorEastAsia" w:hAnsiTheme="majorHAnsi" w:cstheme="majorBidi"/>
      <w:b/>
      <w:bCs/>
      <w:sz w:val="24"/>
      <w:szCs w:val="24"/>
    </w:rPr>
  </w:style>
  <w:style w:type="table" w:styleId="TableGrid">
    <w:name w:val="Table Grid"/>
    <w:basedOn w:val="TableNormal"/>
    <w:rsid w:val="00F94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275795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514077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5763277">
      <w:bodyDiv w:val="1"/>
      <w:marLeft w:val="0"/>
      <w:marRight w:val="0"/>
      <w:marTop w:val="0"/>
      <w:marBottom w:val="0"/>
      <w:divBdr>
        <w:top w:val="none" w:sz="0" w:space="0" w:color="auto"/>
        <w:left w:val="none" w:sz="0" w:space="0" w:color="auto"/>
        <w:bottom w:val="none" w:sz="0" w:space="0" w:color="auto"/>
        <w:right w:val="none" w:sz="0" w:space="0" w:color="auto"/>
      </w:divBdr>
    </w:div>
    <w:div w:id="112408400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6985384">
      <w:bodyDiv w:val="1"/>
      <w:marLeft w:val="0"/>
      <w:marRight w:val="0"/>
      <w:marTop w:val="0"/>
      <w:marBottom w:val="0"/>
      <w:divBdr>
        <w:top w:val="none" w:sz="0" w:space="0" w:color="auto"/>
        <w:left w:val="none" w:sz="0" w:space="0" w:color="auto"/>
        <w:bottom w:val="none" w:sz="0" w:space="0" w:color="auto"/>
        <w:right w:val="none" w:sz="0" w:space="0" w:color="auto"/>
      </w:divBdr>
    </w:div>
    <w:div w:id="1734347742">
      <w:bodyDiv w:val="1"/>
      <w:marLeft w:val="0"/>
      <w:marRight w:val="0"/>
      <w:marTop w:val="0"/>
      <w:marBottom w:val="0"/>
      <w:divBdr>
        <w:top w:val="none" w:sz="0" w:space="0" w:color="auto"/>
        <w:left w:val="none" w:sz="0" w:space="0" w:color="auto"/>
        <w:bottom w:val="none" w:sz="0" w:space="0" w:color="auto"/>
        <w:right w:val="none" w:sz="0" w:space="0" w:color="auto"/>
      </w:divBdr>
    </w:div>
    <w:div w:id="1785415202">
      <w:bodyDiv w:val="1"/>
      <w:marLeft w:val="0"/>
      <w:marRight w:val="0"/>
      <w:marTop w:val="0"/>
      <w:marBottom w:val="0"/>
      <w:divBdr>
        <w:top w:val="none" w:sz="0" w:space="0" w:color="auto"/>
        <w:left w:val="none" w:sz="0" w:space="0" w:color="auto"/>
        <w:bottom w:val="none" w:sz="0" w:space="0" w:color="auto"/>
        <w:right w:val="none" w:sz="0" w:space="0" w:color="auto"/>
      </w:divBdr>
    </w:div>
    <w:div w:id="1835994830">
      <w:bodyDiv w:val="1"/>
      <w:marLeft w:val="0"/>
      <w:marRight w:val="0"/>
      <w:marTop w:val="0"/>
      <w:marBottom w:val="0"/>
      <w:divBdr>
        <w:top w:val="none" w:sz="0" w:space="0" w:color="auto"/>
        <w:left w:val="none" w:sz="0" w:space="0" w:color="auto"/>
        <w:bottom w:val="none" w:sz="0" w:space="0" w:color="auto"/>
        <w:right w:val="none" w:sz="0" w:space="0" w:color="auto"/>
      </w:divBdr>
    </w:div>
    <w:div w:id="2012368474">
      <w:bodyDiv w:val="1"/>
      <w:marLeft w:val="0"/>
      <w:marRight w:val="0"/>
      <w:marTop w:val="0"/>
      <w:marBottom w:val="0"/>
      <w:divBdr>
        <w:top w:val="none" w:sz="0" w:space="0" w:color="auto"/>
        <w:left w:val="none" w:sz="0" w:space="0" w:color="auto"/>
        <w:bottom w:val="none" w:sz="0" w:space="0" w:color="auto"/>
        <w:right w:val="none" w:sz="0" w:space="0" w:color="auto"/>
      </w:divBdr>
      <w:divsChild>
        <w:div w:id="235744831">
          <w:marLeft w:val="0"/>
          <w:marRight w:val="0"/>
          <w:marTop w:val="0"/>
          <w:marBottom w:val="0"/>
          <w:divBdr>
            <w:top w:val="none" w:sz="0" w:space="0" w:color="auto"/>
            <w:left w:val="none" w:sz="0" w:space="0" w:color="auto"/>
            <w:bottom w:val="none" w:sz="0" w:space="0" w:color="auto"/>
            <w:right w:val="none" w:sz="0" w:space="0" w:color="auto"/>
          </w:divBdr>
        </w:div>
        <w:div w:id="339040418">
          <w:marLeft w:val="0"/>
          <w:marRight w:val="0"/>
          <w:marTop w:val="0"/>
          <w:marBottom w:val="0"/>
          <w:divBdr>
            <w:top w:val="none" w:sz="0" w:space="0" w:color="auto"/>
            <w:left w:val="none" w:sz="0" w:space="0" w:color="auto"/>
            <w:bottom w:val="none" w:sz="0" w:space="0" w:color="auto"/>
            <w:right w:val="none" w:sz="0" w:space="0" w:color="auto"/>
          </w:divBdr>
          <w:divsChild>
            <w:div w:id="1704330271">
              <w:marLeft w:val="-75"/>
              <w:marRight w:val="0"/>
              <w:marTop w:val="30"/>
              <w:marBottom w:val="30"/>
              <w:divBdr>
                <w:top w:val="none" w:sz="0" w:space="0" w:color="auto"/>
                <w:left w:val="none" w:sz="0" w:space="0" w:color="auto"/>
                <w:bottom w:val="none" w:sz="0" w:space="0" w:color="auto"/>
                <w:right w:val="none" w:sz="0" w:space="0" w:color="auto"/>
              </w:divBdr>
              <w:divsChild>
                <w:div w:id="65227841">
                  <w:marLeft w:val="0"/>
                  <w:marRight w:val="0"/>
                  <w:marTop w:val="0"/>
                  <w:marBottom w:val="0"/>
                  <w:divBdr>
                    <w:top w:val="none" w:sz="0" w:space="0" w:color="auto"/>
                    <w:left w:val="none" w:sz="0" w:space="0" w:color="auto"/>
                    <w:bottom w:val="none" w:sz="0" w:space="0" w:color="auto"/>
                    <w:right w:val="none" w:sz="0" w:space="0" w:color="auto"/>
                  </w:divBdr>
                  <w:divsChild>
                    <w:div w:id="271209321">
                      <w:marLeft w:val="0"/>
                      <w:marRight w:val="0"/>
                      <w:marTop w:val="0"/>
                      <w:marBottom w:val="0"/>
                      <w:divBdr>
                        <w:top w:val="none" w:sz="0" w:space="0" w:color="auto"/>
                        <w:left w:val="none" w:sz="0" w:space="0" w:color="auto"/>
                        <w:bottom w:val="none" w:sz="0" w:space="0" w:color="auto"/>
                        <w:right w:val="none" w:sz="0" w:space="0" w:color="auto"/>
                      </w:divBdr>
                    </w:div>
                  </w:divsChild>
                </w:div>
                <w:div w:id="332727087">
                  <w:marLeft w:val="0"/>
                  <w:marRight w:val="0"/>
                  <w:marTop w:val="0"/>
                  <w:marBottom w:val="0"/>
                  <w:divBdr>
                    <w:top w:val="none" w:sz="0" w:space="0" w:color="auto"/>
                    <w:left w:val="none" w:sz="0" w:space="0" w:color="auto"/>
                    <w:bottom w:val="none" w:sz="0" w:space="0" w:color="auto"/>
                    <w:right w:val="none" w:sz="0" w:space="0" w:color="auto"/>
                  </w:divBdr>
                  <w:divsChild>
                    <w:div w:id="429349848">
                      <w:marLeft w:val="0"/>
                      <w:marRight w:val="0"/>
                      <w:marTop w:val="0"/>
                      <w:marBottom w:val="0"/>
                      <w:divBdr>
                        <w:top w:val="none" w:sz="0" w:space="0" w:color="auto"/>
                        <w:left w:val="none" w:sz="0" w:space="0" w:color="auto"/>
                        <w:bottom w:val="none" w:sz="0" w:space="0" w:color="auto"/>
                        <w:right w:val="none" w:sz="0" w:space="0" w:color="auto"/>
                      </w:divBdr>
                    </w:div>
                  </w:divsChild>
                </w:div>
                <w:div w:id="337198288">
                  <w:marLeft w:val="0"/>
                  <w:marRight w:val="0"/>
                  <w:marTop w:val="0"/>
                  <w:marBottom w:val="0"/>
                  <w:divBdr>
                    <w:top w:val="none" w:sz="0" w:space="0" w:color="auto"/>
                    <w:left w:val="none" w:sz="0" w:space="0" w:color="auto"/>
                    <w:bottom w:val="none" w:sz="0" w:space="0" w:color="auto"/>
                    <w:right w:val="none" w:sz="0" w:space="0" w:color="auto"/>
                  </w:divBdr>
                  <w:divsChild>
                    <w:div w:id="26295117">
                      <w:marLeft w:val="0"/>
                      <w:marRight w:val="0"/>
                      <w:marTop w:val="0"/>
                      <w:marBottom w:val="0"/>
                      <w:divBdr>
                        <w:top w:val="none" w:sz="0" w:space="0" w:color="auto"/>
                        <w:left w:val="none" w:sz="0" w:space="0" w:color="auto"/>
                        <w:bottom w:val="none" w:sz="0" w:space="0" w:color="auto"/>
                        <w:right w:val="none" w:sz="0" w:space="0" w:color="auto"/>
                      </w:divBdr>
                    </w:div>
                  </w:divsChild>
                </w:div>
                <w:div w:id="353851411">
                  <w:marLeft w:val="0"/>
                  <w:marRight w:val="0"/>
                  <w:marTop w:val="0"/>
                  <w:marBottom w:val="0"/>
                  <w:divBdr>
                    <w:top w:val="none" w:sz="0" w:space="0" w:color="auto"/>
                    <w:left w:val="none" w:sz="0" w:space="0" w:color="auto"/>
                    <w:bottom w:val="none" w:sz="0" w:space="0" w:color="auto"/>
                    <w:right w:val="none" w:sz="0" w:space="0" w:color="auto"/>
                  </w:divBdr>
                  <w:divsChild>
                    <w:div w:id="1866941525">
                      <w:marLeft w:val="0"/>
                      <w:marRight w:val="0"/>
                      <w:marTop w:val="0"/>
                      <w:marBottom w:val="0"/>
                      <w:divBdr>
                        <w:top w:val="none" w:sz="0" w:space="0" w:color="auto"/>
                        <w:left w:val="none" w:sz="0" w:space="0" w:color="auto"/>
                        <w:bottom w:val="none" w:sz="0" w:space="0" w:color="auto"/>
                        <w:right w:val="none" w:sz="0" w:space="0" w:color="auto"/>
                      </w:divBdr>
                    </w:div>
                  </w:divsChild>
                </w:div>
                <w:div w:id="363293985">
                  <w:marLeft w:val="0"/>
                  <w:marRight w:val="0"/>
                  <w:marTop w:val="0"/>
                  <w:marBottom w:val="0"/>
                  <w:divBdr>
                    <w:top w:val="none" w:sz="0" w:space="0" w:color="auto"/>
                    <w:left w:val="none" w:sz="0" w:space="0" w:color="auto"/>
                    <w:bottom w:val="none" w:sz="0" w:space="0" w:color="auto"/>
                    <w:right w:val="none" w:sz="0" w:space="0" w:color="auto"/>
                  </w:divBdr>
                  <w:divsChild>
                    <w:div w:id="318851364">
                      <w:marLeft w:val="0"/>
                      <w:marRight w:val="0"/>
                      <w:marTop w:val="0"/>
                      <w:marBottom w:val="0"/>
                      <w:divBdr>
                        <w:top w:val="none" w:sz="0" w:space="0" w:color="auto"/>
                        <w:left w:val="none" w:sz="0" w:space="0" w:color="auto"/>
                        <w:bottom w:val="none" w:sz="0" w:space="0" w:color="auto"/>
                        <w:right w:val="none" w:sz="0" w:space="0" w:color="auto"/>
                      </w:divBdr>
                    </w:div>
                  </w:divsChild>
                </w:div>
                <w:div w:id="524713960">
                  <w:marLeft w:val="0"/>
                  <w:marRight w:val="0"/>
                  <w:marTop w:val="0"/>
                  <w:marBottom w:val="0"/>
                  <w:divBdr>
                    <w:top w:val="none" w:sz="0" w:space="0" w:color="auto"/>
                    <w:left w:val="none" w:sz="0" w:space="0" w:color="auto"/>
                    <w:bottom w:val="none" w:sz="0" w:space="0" w:color="auto"/>
                    <w:right w:val="none" w:sz="0" w:space="0" w:color="auto"/>
                  </w:divBdr>
                  <w:divsChild>
                    <w:div w:id="2001621002">
                      <w:marLeft w:val="0"/>
                      <w:marRight w:val="0"/>
                      <w:marTop w:val="0"/>
                      <w:marBottom w:val="0"/>
                      <w:divBdr>
                        <w:top w:val="none" w:sz="0" w:space="0" w:color="auto"/>
                        <w:left w:val="none" w:sz="0" w:space="0" w:color="auto"/>
                        <w:bottom w:val="none" w:sz="0" w:space="0" w:color="auto"/>
                        <w:right w:val="none" w:sz="0" w:space="0" w:color="auto"/>
                      </w:divBdr>
                    </w:div>
                  </w:divsChild>
                </w:div>
                <w:div w:id="594362195">
                  <w:marLeft w:val="0"/>
                  <w:marRight w:val="0"/>
                  <w:marTop w:val="0"/>
                  <w:marBottom w:val="0"/>
                  <w:divBdr>
                    <w:top w:val="none" w:sz="0" w:space="0" w:color="auto"/>
                    <w:left w:val="none" w:sz="0" w:space="0" w:color="auto"/>
                    <w:bottom w:val="none" w:sz="0" w:space="0" w:color="auto"/>
                    <w:right w:val="none" w:sz="0" w:space="0" w:color="auto"/>
                  </w:divBdr>
                  <w:divsChild>
                    <w:div w:id="252399612">
                      <w:marLeft w:val="0"/>
                      <w:marRight w:val="0"/>
                      <w:marTop w:val="0"/>
                      <w:marBottom w:val="0"/>
                      <w:divBdr>
                        <w:top w:val="none" w:sz="0" w:space="0" w:color="auto"/>
                        <w:left w:val="none" w:sz="0" w:space="0" w:color="auto"/>
                        <w:bottom w:val="none" w:sz="0" w:space="0" w:color="auto"/>
                        <w:right w:val="none" w:sz="0" w:space="0" w:color="auto"/>
                      </w:divBdr>
                    </w:div>
                  </w:divsChild>
                </w:div>
                <w:div w:id="622424866">
                  <w:marLeft w:val="0"/>
                  <w:marRight w:val="0"/>
                  <w:marTop w:val="0"/>
                  <w:marBottom w:val="0"/>
                  <w:divBdr>
                    <w:top w:val="none" w:sz="0" w:space="0" w:color="auto"/>
                    <w:left w:val="none" w:sz="0" w:space="0" w:color="auto"/>
                    <w:bottom w:val="none" w:sz="0" w:space="0" w:color="auto"/>
                    <w:right w:val="none" w:sz="0" w:space="0" w:color="auto"/>
                  </w:divBdr>
                  <w:divsChild>
                    <w:div w:id="354617058">
                      <w:marLeft w:val="0"/>
                      <w:marRight w:val="0"/>
                      <w:marTop w:val="0"/>
                      <w:marBottom w:val="0"/>
                      <w:divBdr>
                        <w:top w:val="none" w:sz="0" w:space="0" w:color="auto"/>
                        <w:left w:val="none" w:sz="0" w:space="0" w:color="auto"/>
                        <w:bottom w:val="none" w:sz="0" w:space="0" w:color="auto"/>
                        <w:right w:val="none" w:sz="0" w:space="0" w:color="auto"/>
                      </w:divBdr>
                    </w:div>
                  </w:divsChild>
                </w:div>
                <w:div w:id="649480885">
                  <w:marLeft w:val="0"/>
                  <w:marRight w:val="0"/>
                  <w:marTop w:val="0"/>
                  <w:marBottom w:val="0"/>
                  <w:divBdr>
                    <w:top w:val="none" w:sz="0" w:space="0" w:color="auto"/>
                    <w:left w:val="none" w:sz="0" w:space="0" w:color="auto"/>
                    <w:bottom w:val="none" w:sz="0" w:space="0" w:color="auto"/>
                    <w:right w:val="none" w:sz="0" w:space="0" w:color="auto"/>
                  </w:divBdr>
                  <w:divsChild>
                    <w:div w:id="2070684298">
                      <w:marLeft w:val="0"/>
                      <w:marRight w:val="0"/>
                      <w:marTop w:val="0"/>
                      <w:marBottom w:val="0"/>
                      <w:divBdr>
                        <w:top w:val="none" w:sz="0" w:space="0" w:color="auto"/>
                        <w:left w:val="none" w:sz="0" w:space="0" w:color="auto"/>
                        <w:bottom w:val="none" w:sz="0" w:space="0" w:color="auto"/>
                        <w:right w:val="none" w:sz="0" w:space="0" w:color="auto"/>
                      </w:divBdr>
                    </w:div>
                  </w:divsChild>
                </w:div>
                <w:div w:id="684140490">
                  <w:marLeft w:val="0"/>
                  <w:marRight w:val="0"/>
                  <w:marTop w:val="0"/>
                  <w:marBottom w:val="0"/>
                  <w:divBdr>
                    <w:top w:val="none" w:sz="0" w:space="0" w:color="auto"/>
                    <w:left w:val="none" w:sz="0" w:space="0" w:color="auto"/>
                    <w:bottom w:val="none" w:sz="0" w:space="0" w:color="auto"/>
                    <w:right w:val="none" w:sz="0" w:space="0" w:color="auto"/>
                  </w:divBdr>
                  <w:divsChild>
                    <w:div w:id="1592007443">
                      <w:marLeft w:val="0"/>
                      <w:marRight w:val="0"/>
                      <w:marTop w:val="0"/>
                      <w:marBottom w:val="0"/>
                      <w:divBdr>
                        <w:top w:val="none" w:sz="0" w:space="0" w:color="auto"/>
                        <w:left w:val="none" w:sz="0" w:space="0" w:color="auto"/>
                        <w:bottom w:val="none" w:sz="0" w:space="0" w:color="auto"/>
                        <w:right w:val="none" w:sz="0" w:space="0" w:color="auto"/>
                      </w:divBdr>
                    </w:div>
                  </w:divsChild>
                </w:div>
                <w:div w:id="846864885">
                  <w:marLeft w:val="0"/>
                  <w:marRight w:val="0"/>
                  <w:marTop w:val="0"/>
                  <w:marBottom w:val="0"/>
                  <w:divBdr>
                    <w:top w:val="none" w:sz="0" w:space="0" w:color="auto"/>
                    <w:left w:val="none" w:sz="0" w:space="0" w:color="auto"/>
                    <w:bottom w:val="none" w:sz="0" w:space="0" w:color="auto"/>
                    <w:right w:val="none" w:sz="0" w:space="0" w:color="auto"/>
                  </w:divBdr>
                  <w:divsChild>
                    <w:div w:id="1493258427">
                      <w:marLeft w:val="0"/>
                      <w:marRight w:val="0"/>
                      <w:marTop w:val="0"/>
                      <w:marBottom w:val="0"/>
                      <w:divBdr>
                        <w:top w:val="none" w:sz="0" w:space="0" w:color="auto"/>
                        <w:left w:val="none" w:sz="0" w:space="0" w:color="auto"/>
                        <w:bottom w:val="none" w:sz="0" w:space="0" w:color="auto"/>
                        <w:right w:val="none" w:sz="0" w:space="0" w:color="auto"/>
                      </w:divBdr>
                    </w:div>
                  </w:divsChild>
                </w:div>
                <w:div w:id="1054964500">
                  <w:marLeft w:val="0"/>
                  <w:marRight w:val="0"/>
                  <w:marTop w:val="0"/>
                  <w:marBottom w:val="0"/>
                  <w:divBdr>
                    <w:top w:val="none" w:sz="0" w:space="0" w:color="auto"/>
                    <w:left w:val="none" w:sz="0" w:space="0" w:color="auto"/>
                    <w:bottom w:val="none" w:sz="0" w:space="0" w:color="auto"/>
                    <w:right w:val="none" w:sz="0" w:space="0" w:color="auto"/>
                  </w:divBdr>
                  <w:divsChild>
                    <w:div w:id="1656179796">
                      <w:marLeft w:val="0"/>
                      <w:marRight w:val="0"/>
                      <w:marTop w:val="0"/>
                      <w:marBottom w:val="0"/>
                      <w:divBdr>
                        <w:top w:val="none" w:sz="0" w:space="0" w:color="auto"/>
                        <w:left w:val="none" w:sz="0" w:space="0" w:color="auto"/>
                        <w:bottom w:val="none" w:sz="0" w:space="0" w:color="auto"/>
                        <w:right w:val="none" w:sz="0" w:space="0" w:color="auto"/>
                      </w:divBdr>
                    </w:div>
                  </w:divsChild>
                </w:div>
                <w:div w:id="1148130229">
                  <w:marLeft w:val="0"/>
                  <w:marRight w:val="0"/>
                  <w:marTop w:val="0"/>
                  <w:marBottom w:val="0"/>
                  <w:divBdr>
                    <w:top w:val="none" w:sz="0" w:space="0" w:color="auto"/>
                    <w:left w:val="none" w:sz="0" w:space="0" w:color="auto"/>
                    <w:bottom w:val="none" w:sz="0" w:space="0" w:color="auto"/>
                    <w:right w:val="none" w:sz="0" w:space="0" w:color="auto"/>
                  </w:divBdr>
                  <w:divsChild>
                    <w:div w:id="598295111">
                      <w:marLeft w:val="0"/>
                      <w:marRight w:val="0"/>
                      <w:marTop w:val="0"/>
                      <w:marBottom w:val="0"/>
                      <w:divBdr>
                        <w:top w:val="none" w:sz="0" w:space="0" w:color="auto"/>
                        <w:left w:val="none" w:sz="0" w:space="0" w:color="auto"/>
                        <w:bottom w:val="none" w:sz="0" w:space="0" w:color="auto"/>
                        <w:right w:val="none" w:sz="0" w:space="0" w:color="auto"/>
                      </w:divBdr>
                    </w:div>
                  </w:divsChild>
                </w:div>
                <w:div w:id="1201091338">
                  <w:marLeft w:val="0"/>
                  <w:marRight w:val="0"/>
                  <w:marTop w:val="0"/>
                  <w:marBottom w:val="0"/>
                  <w:divBdr>
                    <w:top w:val="none" w:sz="0" w:space="0" w:color="auto"/>
                    <w:left w:val="none" w:sz="0" w:space="0" w:color="auto"/>
                    <w:bottom w:val="none" w:sz="0" w:space="0" w:color="auto"/>
                    <w:right w:val="none" w:sz="0" w:space="0" w:color="auto"/>
                  </w:divBdr>
                  <w:divsChild>
                    <w:div w:id="1234001625">
                      <w:marLeft w:val="0"/>
                      <w:marRight w:val="0"/>
                      <w:marTop w:val="0"/>
                      <w:marBottom w:val="0"/>
                      <w:divBdr>
                        <w:top w:val="none" w:sz="0" w:space="0" w:color="auto"/>
                        <w:left w:val="none" w:sz="0" w:space="0" w:color="auto"/>
                        <w:bottom w:val="none" w:sz="0" w:space="0" w:color="auto"/>
                        <w:right w:val="none" w:sz="0" w:space="0" w:color="auto"/>
                      </w:divBdr>
                    </w:div>
                  </w:divsChild>
                </w:div>
                <w:div w:id="1226138606">
                  <w:marLeft w:val="0"/>
                  <w:marRight w:val="0"/>
                  <w:marTop w:val="0"/>
                  <w:marBottom w:val="0"/>
                  <w:divBdr>
                    <w:top w:val="none" w:sz="0" w:space="0" w:color="auto"/>
                    <w:left w:val="none" w:sz="0" w:space="0" w:color="auto"/>
                    <w:bottom w:val="none" w:sz="0" w:space="0" w:color="auto"/>
                    <w:right w:val="none" w:sz="0" w:space="0" w:color="auto"/>
                  </w:divBdr>
                  <w:divsChild>
                    <w:div w:id="445080158">
                      <w:marLeft w:val="0"/>
                      <w:marRight w:val="0"/>
                      <w:marTop w:val="0"/>
                      <w:marBottom w:val="0"/>
                      <w:divBdr>
                        <w:top w:val="none" w:sz="0" w:space="0" w:color="auto"/>
                        <w:left w:val="none" w:sz="0" w:space="0" w:color="auto"/>
                        <w:bottom w:val="none" w:sz="0" w:space="0" w:color="auto"/>
                        <w:right w:val="none" w:sz="0" w:space="0" w:color="auto"/>
                      </w:divBdr>
                    </w:div>
                  </w:divsChild>
                </w:div>
                <w:div w:id="1261723420">
                  <w:marLeft w:val="0"/>
                  <w:marRight w:val="0"/>
                  <w:marTop w:val="0"/>
                  <w:marBottom w:val="0"/>
                  <w:divBdr>
                    <w:top w:val="none" w:sz="0" w:space="0" w:color="auto"/>
                    <w:left w:val="none" w:sz="0" w:space="0" w:color="auto"/>
                    <w:bottom w:val="none" w:sz="0" w:space="0" w:color="auto"/>
                    <w:right w:val="none" w:sz="0" w:space="0" w:color="auto"/>
                  </w:divBdr>
                  <w:divsChild>
                    <w:div w:id="1233928422">
                      <w:marLeft w:val="0"/>
                      <w:marRight w:val="0"/>
                      <w:marTop w:val="0"/>
                      <w:marBottom w:val="0"/>
                      <w:divBdr>
                        <w:top w:val="none" w:sz="0" w:space="0" w:color="auto"/>
                        <w:left w:val="none" w:sz="0" w:space="0" w:color="auto"/>
                        <w:bottom w:val="none" w:sz="0" w:space="0" w:color="auto"/>
                        <w:right w:val="none" w:sz="0" w:space="0" w:color="auto"/>
                      </w:divBdr>
                    </w:div>
                  </w:divsChild>
                </w:div>
                <w:div w:id="1322734054">
                  <w:marLeft w:val="0"/>
                  <w:marRight w:val="0"/>
                  <w:marTop w:val="0"/>
                  <w:marBottom w:val="0"/>
                  <w:divBdr>
                    <w:top w:val="none" w:sz="0" w:space="0" w:color="auto"/>
                    <w:left w:val="none" w:sz="0" w:space="0" w:color="auto"/>
                    <w:bottom w:val="none" w:sz="0" w:space="0" w:color="auto"/>
                    <w:right w:val="none" w:sz="0" w:space="0" w:color="auto"/>
                  </w:divBdr>
                  <w:divsChild>
                    <w:div w:id="221210953">
                      <w:marLeft w:val="0"/>
                      <w:marRight w:val="0"/>
                      <w:marTop w:val="0"/>
                      <w:marBottom w:val="0"/>
                      <w:divBdr>
                        <w:top w:val="none" w:sz="0" w:space="0" w:color="auto"/>
                        <w:left w:val="none" w:sz="0" w:space="0" w:color="auto"/>
                        <w:bottom w:val="none" w:sz="0" w:space="0" w:color="auto"/>
                        <w:right w:val="none" w:sz="0" w:space="0" w:color="auto"/>
                      </w:divBdr>
                    </w:div>
                  </w:divsChild>
                </w:div>
                <w:div w:id="1361006510">
                  <w:marLeft w:val="0"/>
                  <w:marRight w:val="0"/>
                  <w:marTop w:val="0"/>
                  <w:marBottom w:val="0"/>
                  <w:divBdr>
                    <w:top w:val="none" w:sz="0" w:space="0" w:color="auto"/>
                    <w:left w:val="none" w:sz="0" w:space="0" w:color="auto"/>
                    <w:bottom w:val="none" w:sz="0" w:space="0" w:color="auto"/>
                    <w:right w:val="none" w:sz="0" w:space="0" w:color="auto"/>
                  </w:divBdr>
                  <w:divsChild>
                    <w:div w:id="1575624982">
                      <w:marLeft w:val="0"/>
                      <w:marRight w:val="0"/>
                      <w:marTop w:val="0"/>
                      <w:marBottom w:val="0"/>
                      <w:divBdr>
                        <w:top w:val="none" w:sz="0" w:space="0" w:color="auto"/>
                        <w:left w:val="none" w:sz="0" w:space="0" w:color="auto"/>
                        <w:bottom w:val="none" w:sz="0" w:space="0" w:color="auto"/>
                        <w:right w:val="none" w:sz="0" w:space="0" w:color="auto"/>
                      </w:divBdr>
                    </w:div>
                  </w:divsChild>
                </w:div>
                <w:div w:id="1507863656">
                  <w:marLeft w:val="0"/>
                  <w:marRight w:val="0"/>
                  <w:marTop w:val="0"/>
                  <w:marBottom w:val="0"/>
                  <w:divBdr>
                    <w:top w:val="none" w:sz="0" w:space="0" w:color="auto"/>
                    <w:left w:val="none" w:sz="0" w:space="0" w:color="auto"/>
                    <w:bottom w:val="none" w:sz="0" w:space="0" w:color="auto"/>
                    <w:right w:val="none" w:sz="0" w:space="0" w:color="auto"/>
                  </w:divBdr>
                  <w:divsChild>
                    <w:div w:id="271717480">
                      <w:marLeft w:val="0"/>
                      <w:marRight w:val="0"/>
                      <w:marTop w:val="0"/>
                      <w:marBottom w:val="0"/>
                      <w:divBdr>
                        <w:top w:val="none" w:sz="0" w:space="0" w:color="auto"/>
                        <w:left w:val="none" w:sz="0" w:space="0" w:color="auto"/>
                        <w:bottom w:val="none" w:sz="0" w:space="0" w:color="auto"/>
                        <w:right w:val="none" w:sz="0" w:space="0" w:color="auto"/>
                      </w:divBdr>
                    </w:div>
                  </w:divsChild>
                </w:div>
                <w:div w:id="1606376075">
                  <w:marLeft w:val="0"/>
                  <w:marRight w:val="0"/>
                  <w:marTop w:val="0"/>
                  <w:marBottom w:val="0"/>
                  <w:divBdr>
                    <w:top w:val="none" w:sz="0" w:space="0" w:color="auto"/>
                    <w:left w:val="none" w:sz="0" w:space="0" w:color="auto"/>
                    <w:bottom w:val="none" w:sz="0" w:space="0" w:color="auto"/>
                    <w:right w:val="none" w:sz="0" w:space="0" w:color="auto"/>
                  </w:divBdr>
                  <w:divsChild>
                    <w:div w:id="1654286299">
                      <w:marLeft w:val="0"/>
                      <w:marRight w:val="0"/>
                      <w:marTop w:val="0"/>
                      <w:marBottom w:val="0"/>
                      <w:divBdr>
                        <w:top w:val="none" w:sz="0" w:space="0" w:color="auto"/>
                        <w:left w:val="none" w:sz="0" w:space="0" w:color="auto"/>
                        <w:bottom w:val="none" w:sz="0" w:space="0" w:color="auto"/>
                        <w:right w:val="none" w:sz="0" w:space="0" w:color="auto"/>
                      </w:divBdr>
                    </w:div>
                  </w:divsChild>
                </w:div>
                <w:div w:id="1617101631">
                  <w:marLeft w:val="0"/>
                  <w:marRight w:val="0"/>
                  <w:marTop w:val="0"/>
                  <w:marBottom w:val="0"/>
                  <w:divBdr>
                    <w:top w:val="none" w:sz="0" w:space="0" w:color="auto"/>
                    <w:left w:val="none" w:sz="0" w:space="0" w:color="auto"/>
                    <w:bottom w:val="none" w:sz="0" w:space="0" w:color="auto"/>
                    <w:right w:val="none" w:sz="0" w:space="0" w:color="auto"/>
                  </w:divBdr>
                  <w:divsChild>
                    <w:div w:id="399207017">
                      <w:marLeft w:val="0"/>
                      <w:marRight w:val="0"/>
                      <w:marTop w:val="0"/>
                      <w:marBottom w:val="0"/>
                      <w:divBdr>
                        <w:top w:val="none" w:sz="0" w:space="0" w:color="auto"/>
                        <w:left w:val="none" w:sz="0" w:space="0" w:color="auto"/>
                        <w:bottom w:val="none" w:sz="0" w:space="0" w:color="auto"/>
                        <w:right w:val="none" w:sz="0" w:space="0" w:color="auto"/>
                      </w:divBdr>
                    </w:div>
                  </w:divsChild>
                </w:div>
                <w:div w:id="1643003749">
                  <w:marLeft w:val="0"/>
                  <w:marRight w:val="0"/>
                  <w:marTop w:val="0"/>
                  <w:marBottom w:val="0"/>
                  <w:divBdr>
                    <w:top w:val="none" w:sz="0" w:space="0" w:color="auto"/>
                    <w:left w:val="none" w:sz="0" w:space="0" w:color="auto"/>
                    <w:bottom w:val="none" w:sz="0" w:space="0" w:color="auto"/>
                    <w:right w:val="none" w:sz="0" w:space="0" w:color="auto"/>
                  </w:divBdr>
                  <w:divsChild>
                    <w:div w:id="454568392">
                      <w:marLeft w:val="0"/>
                      <w:marRight w:val="0"/>
                      <w:marTop w:val="0"/>
                      <w:marBottom w:val="0"/>
                      <w:divBdr>
                        <w:top w:val="none" w:sz="0" w:space="0" w:color="auto"/>
                        <w:left w:val="none" w:sz="0" w:space="0" w:color="auto"/>
                        <w:bottom w:val="none" w:sz="0" w:space="0" w:color="auto"/>
                        <w:right w:val="none" w:sz="0" w:space="0" w:color="auto"/>
                      </w:divBdr>
                    </w:div>
                  </w:divsChild>
                </w:div>
                <w:div w:id="1782718825">
                  <w:marLeft w:val="0"/>
                  <w:marRight w:val="0"/>
                  <w:marTop w:val="0"/>
                  <w:marBottom w:val="0"/>
                  <w:divBdr>
                    <w:top w:val="none" w:sz="0" w:space="0" w:color="auto"/>
                    <w:left w:val="none" w:sz="0" w:space="0" w:color="auto"/>
                    <w:bottom w:val="none" w:sz="0" w:space="0" w:color="auto"/>
                    <w:right w:val="none" w:sz="0" w:space="0" w:color="auto"/>
                  </w:divBdr>
                  <w:divsChild>
                    <w:div w:id="1669014603">
                      <w:marLeft w:val="0"/>
                      <w:marRight w:val="0"/>
                      <w:marTop w:val="0"/>
                      <w:marBottom w:val="0"/>
                      <w:divBdr>
                        <w:top w:val="none" w:sz="0" w:space="0" w:color="auto"/>
                        <w:left w:val="none" w:sz="0" w:space="0" w:color="auto"/>
                        <w:bottom w:val="none" w:sz="0" w:space="0" w:color="auto"/>
                        <w:right w:val="none" w:sz="0" w:space="0" w:color="auto"/>
                      </w:divBdr>
                    </w:div>
                  </w:divsChild>
                </w:div>
                <w:div w:id="1804273706">
                  <w:marLeft w:val="0"/>
                  <w:marRight w:val="0"/>
                  <w:marTop w:val="0"/>
                  <w:marBottom w:val="0"/>
                  <w:divBdr>
                    <w:top w:val="none" w:sz="0" w:space="0" w:color="auto"/>
                    <w:left w:val="none" w:sz="0" w:space="0" w:color="auto"/>
                    <w:bottom w:val="none" w:sz="0" w:space="0" w:color="auto"/>
                    <w:right w:val="none" w:sz="0" w:space="0" w:color="auto"/>
                  </w:divBdr>
                  <w:divsChild>
                    <w:div w:id="181363445">
                      <w:marLeft w:val="0"/>
                      <w:marRight w:val="0"/>
                      <w:marTop w:val="0"/>
                      <w:marBottom w:val="0"/>
                      <w:divBdr>
                        <w:top w:val="none" w:sz="0" w:space="0" w:color="auto"/>
                        <w:left w:val="none" w:sz="0" w:space="0" w:color="auto"/>
                        <w:bottom w:val="none" w:sz="0" w:space="0" w:color="auto"/>
                        <w:right w:val="none" w:sz="0" w:space="0" w:color="auto"/>
                      </w:divBdr>
                    </w:div>
                  </w:divsChild>
                </w:div>
                <w:div w:id="1814365267">
                  <w:marLeft w:val="0"/>
                  <w:marRight w:val="0"/>
                  <w:marTop w:val="0"/>
                  <w:marBottom w:val="0"/>
                  <w:divBdr>
                    <w:top w:val="none" w:sz="0" w:space="0" w:color="auto"/>
                    <w:left w:val="none" w:sz="0" w:space="0" w:color="auto"/>
                    <w:bottom w:val="none" w:sz="0" w:space="0" w:color="auto"/>
                    <w:right w:val="none" w:sz="0" w:space="0" w:color="auto"/>
                  </w:divBdr>
                  <w:divsChild>
                    <w:div w:id="727804535">
                      <w:marLeft w:val="0"/>
                      <w:marRight w:val="0"/>
                      <w:marTop w:val="0"/>
                      <w:marBottom w:val="0"/>
                      <w:divBdr>
                        <w:top w:val="none" w:sz="0" w:space="0" w:color="auto"/>
                        <w:left w:val="none" w:sz="0" w:space="0" w:color="auto"/>
                        <w:bottom w:val="none" w:sz="0" w:space="0" w:color="auto"/>
                        <w:right w:val="none" w:sz="0" w:space="0" w:color="auto"/>
                      </w:divBdr>
                    </w:div>
                  </w:divsChild>
                </w:div>
                <w:div w:id="1971206448">
                  <w:marLeft w:val="0"/>
                  <w:marRight w:val="0"/>
                  <w:marTop w:val="0"/>
                  <w:marBottom w:val="0"/>
                  <w:divBdr>
                    <w:top w:val="none" w:sz="0" w:space="0" w:color="auto"/>
                    <w:left w:val="none" w:sz="0" w:space="0" w:color="auto"/>
                    <w:bottom w:val="none" w:sz="0" w:space="0" w:color="auto"/>
                    <w:right w:val="none" w:sz="0" w:space="0" w:color="auto"/>
                  </w:divBdr>
                  <w:divsChild>
                    <w:div w:id="2077317640">
                      <w:marLeft w:val="0"/>
                      <w:marRight w:val="0"/>
                      <w:marTop w:val="0"/>
                      <w:marBottom w:val="0"/>
                      <w:divBdr>
                        <w:top w:val="none" w:sz="0" w:space="0" w:color="auto"/>
                        <w:left w:val="none" w:sz="0" w:space="0" w:color="auto"/>
                        <w:bottom w:val="none" w:sz="0" w:space="0" w:color="auto"/>
                        <w:right w:val="none" w:sz="0" w:space="0" w:color="auto"/>
                      </w:divBdr>
                    </w:div>
                  </w:divsChild>
                </w:div>
                <w:div w:id="1990354463">
                  <w:marLeft w:val="0"/>
                  <w:marRight w:val="0"/>
                  <w:marTop w:val="0"/>
                  <w:marBottom w:val="0"/>
                  <w:divBdr>
                    <w:top w:val="none" w:sz="0" w:space="0" w:color="auto"/>
                    <w:left w:val="none" w:sz="0" w:space="0" w:color="auto"/>
                    <w:bottom w:val="none" w:sz="0" w:space="0" w:color="auto"/>
                    <w:right w:val="none" w:sz="0" w:space="0" w:color="auto"/>
                  </w:divBdr>
                  <w:divsChild>
                    <w:div w:id="1009605354">
                      <w:marLeft w:val="0"/>
                      <w:marRight w:val="0"/>
                      <w:marTop w:val="0"/>
                      <w:marBottom w:val="0"/>
                      <w:divBdr>
                        <w:top w:val="none" w:sz="0" w:space="0" w:color="auto"/>
                        <w:left w:val="none" w:sz="0" w:space="0" w:color="auto"/>
                        <w:bottom w:val="none" w:sz="0" w:space="0" w:color="auto"/>
                        <w:right w:val="none" w:sz="0" w:space="0" w:color="auto"/>
                      </w:divBdr>
                    </w:div>
                  </w:divsChild>
                </w:div>
                <w:div w:id="2023119735">
                  <w:marLeft w:val="0"/>
                  <w:marRight w:val="0"/>
                  <w:marTop w:val="0"/>
                  <w:marBottom w:val="0"/>
                  <w:divBdr>
                    <w:top w:val="none" w:sz="0" w:space="0" w:color="auto"/>
                    <w:left w:val="none" w:sz="0" w:space="0" w:color="auto"/>
                    <w:bottom w:val="none" w:sz="0" w:space="0" w:color="auto"/>
                    <w:right w:val="none" w:sz="0" w:space="0" w:color="auto"/>
                  </w:divBdr>
                  <w:divsChild>
                    <w:div w:id="413867467">
                      <w:marLeft w:val="0"/>
                      <w:marRight w:val="0"/>
                      <w:marTop w:val="0"/>
                      <w:marBottom w:val="0"/>
                      <w:divBdr>
                        <w:top w:val="none" w:sz="0" w:space="0" w:color="auto"/>
                        <w:left w:val="none" w:sz="0" w:space="0" w:color="auto"/>
                        <w:bottom w:val="none" w:sz="0" w:space="0" w:color="auto"/>
                        <w:right w:val="none" w:sz="0" w:space="0" w:color="auto"/>
                      </w:divBdr>
                    </w:div>
                  </w:divsChild>
                </w:div>
                <w:div w:id="2053723923">
                  <w:marLeft w:val="0"/>
                  <w:marRight w:val="0"/>
                  <w:marTop w:val="0"/>
                  <w:marBottom w:val="0"/>
                  <w:divBdr>
                    <w:top w:val="none" w:sz="0" w:space="0" w:color="auto"/>
                    <w:left w:val="none" w:sz="0" w:space="0" w:color="auto"/>
                    <w:bottom w:val="none" w:sz="0" w:space="0" w:color="auto"/>
                    <w:right w:val="none" w:sz="0" w:space="0" w:color="auto"/>
                  </w:divBdr>
                  <w:divsChild>
                    <w:div w:id="956449603">
                      <w:marLeft w:val="0"/>
                      <w:marRight w:val="0"/>
                      <w:marTop w:val="0"/>
                      <w:marBottom w:val="0"/>
                      <w:divBdr>
                        <w:top w:val="none" w:sz="0" w:space="0" w:color="auto"/>
                        <w:left w:val="none" w:sz="0" w:space="0" w:color="auto"/>
                        <w:bottom w:val="none" w:sz="0" w:space="0" w:color="auto"/>
                        <w:right w:val="none" w:sz="0" w:space="0" w:color="auto"/>
                      </w:divBdr>
                    </w:div>
                  </w:divsChild>
                </w:div>
                <w:div w:id="2124837385">
                  <w:marLeft w:val="0"/>
                  <w:marRight w:val="0"/>
                  <w:marTop w:val="0"/>
                  <w:marBottom w:val="0"/>
                  <w:divBdr>
                    <w:top w:val="none" w:sz="0" w:space="0" w:color="auto"/>
                    <w:left w:val="none" w:sz="0" w:space="0" w:color="auto"/>
                    <w:bottom w:val="none" w:sz="0" w:space="0" w:color="auto"/>
                    <w:right w:val="none" w:sz="0" w:space="0" w:color="auto"/>
                  </w:divBdr>
                  <w:divsChild>
                    <w:div w:id="118948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736589">
          <w:marLeft w:val="0"/>
          <w:marRight w:val="0"/>
          <w:marTop w:val="0"/>
          <w:marBottom w:val="0"/>
          <w:divBdr>
            <w:top w:val="none" w:sz="0" w:space="0" w:color="auto"/>
            <w:left w:val="none" w:sz="0" w:space="0" w:color="auto"/>
            <w:bottom w:val="none" w:sz="0" w:space="0" w:color="auto"/>
            <w:right w:val="none" w:sz="0" w:space="0" w:color="auto"/>
          </w:divBdr>
        </w:div>
        <w:div w:id="599065203">
          <w:marLeft w:val="0"/>
          <w:marRight w:val="0"/>
          <w:marTop w:val="0"/>
          <w:marBottom w:val="0"/>
          <w:divBdr>
            <w:top w:val="none" w:sz="0" w:space="0" w:color="auto"/>
            <w:left w:val="none" w:sz="0" w:space="0" w:color="auto"/>
            <w:bottom w:val="none" w:sz="0" w:space="0" w:color="auto"/>
            <w:right w:val="none" w:sz="0" w:space="0" w:color="auto"/>
          </w:divBdr>
        </w:div>
        <w:div w:id="905799627">
          <w:marLeft w:val="0"/>
          <w:marRight w:val="0"/>
          <w:marTop w:val="0"/>
          <w:marBottom w:val="0"/>
          <w:divBdr>
            <w:top w:val="none" w:sz="0" w:space="0" w:color="auto"/>
            <w:left w:val="none" w:sz="0" w:space="0" w:color="auto"/>
            <w:bottom w:val="none" w:sz="0" w:space="0" w:color="auto"/>
            <w:right w:val="none" w:sz="0" w:space="0" w:color="auto"/>
          </w:divBdr>
        </w:div>
        <w:div w:id="932519290">
          <w:marLeft w:val="0"/>
          <w:marRight w:val="0"/>
          <w:marTop w:val="0"/>
          <w:marBottom w:val="0"/>
          <w:divBdr>
            <w:top w:val="none" w:sz="0" w:space="0" w:color="auto"/>
            <w:left w:val="none" w:sz="0" w:space="0" w:color="auto"/>
            <w:bottom w:val="none" w:sz="0" w:space="0" w:color="auto"/>
            <w:right w:val="none" w:sz="0" w:space="0" w:color="auto"/>
          </w:divBdr>
        </w:div>
        <w:div w:id="1359965131">
          <w:marLeft w:val="0"/>
          <w:marRight w:val="0"/>
          <w:marTop w:val="0"/>
          <w:marBottom w:val="0"/>
          <w:divBdr>
            <w:top w:val="none" w:sz="0" w:space="0" w:color="auto"/>
            <w:left w:val="none" w:sz="0" w:space="0" w:color="auto"/>
            <w:bottom w:val="none" w:sz="0" w:space="0" w:color="auto"/>
            <w:right w:val="none" w:sz="0" w:space="0" w:color="auto"/>
          </w:divBdr>
        </w:div>
        <w:div w:id="1571961111">
          <w:marLeft w:val="0"/>
          <w:marRight w:val="0"/>
          <w:marTop w:val="0"/>
          <w:marBottom w:val="0"/>
          <w:divBdr>
            <w:top w:val="none" w:sz="0" w:space="0" w:color="auto"/>
            <w:left w:val="none" w:sz="0" w:space="0" w:color="auto"/>
            <w:bottom w:val="none" w:sz="0" w:space="0" w:color="auto"/>
            <w:right w:val="none" w:sz="0" w:space="0" w:color="auto"/>
          </w:divBdr>
        </w:div>
        <w:div w:id="1797412479">
          <w:marLeft w:val="0"/>
          <w:marRight w:val="0"/>
          <w:marTop w:val="0"/>
          <w:marBottom w:val="0"/>
          <w:divBdr>
            <w:top w:val="none" w:sz="0" w:space="0" w:color="auto"/>
            <w:left w:val="none" w:sz="0" w:space="0" w:color="auto"/>
            <w:bottom w:val="none" w:sz="0" w:space="0" w:color="auto"/>
            <w:right w:val="none" w:sz="0" w:space="0" w:color="auto"/>
          </w:divBdr>
        </w:div>
        <w:div w:id="1874224743">
          <w:marLeft w:val="0"/>
          <w:marRight w:val="0"/>
          <w:marTop w:val="0"/>
          <w:marBottom w:val="0"/>
          <w:divBdr>
            <w:top w:val="none" w:sz="0" w:space="0" w:color="auto"/>
            <w:left w:val="none" w:sz="0" w:space="0" w:color="auto"/>
            <w:bottom w:val="none" w:sz="0" w:space="0" w:color="auto"/>
            <w:right w:val="none" w:sz="0" w:space="0" w:color="auto"/>
          </w:divBdr>
        </w:div>
        <w:div w:id="1920483563">
          <w:marLeft w:val="0"/>
          <w:marRight w:val="0"/>
          <w:marTop w:val="0"/>
          <w:marBottom w:val="0"/>
          <w:divBdr>
            <w:top w:val="none" w:sz="0" w:space="0" w:color="auto"/>
            <w:left w:val="none" w:sz="0" w:space="0" w:color="auto"/>
            <w:bottom w:val="none" w:sz="0" w:space="0" w:color="auto"/>
            <w:right w:val="none" w:sz="0" w:space="0" w:color="auto"/>
          </w:divBdr>
        </w:div>
        <w:div w:id="2010133320">
          <w:marLeft w:val="0"/>
          <w:marRight w:val="0"/>
          <w:marTop w:val="0"/>
          <w:marBottom w:val="0"/>
          <w:divBdr>
            <w:top w:val="none" w:sz="0" w:space="0" w:color="auto"/>
            <w:left w:val="none" w:sz="0" w:space="0" w:color="auto"/>
            <w:bottom w:val="none" w:sz="0" w:space="0" w:color="auto"/>
            <w:right w:val="none" w:sz="0" w:space="0" w:color="auto"/>
          </w:divBdr>
        </w:div>
      </w:divsChild>
    </w:div>
    <w:div w:id="2129203024">
      <w:bodyDiv w:val="1"/>
      <w:marLeft w:val="0"/>
      <w:marRight w:val="0"/>
      <w:marTop w:val="0"/>
      <w:marBottom w:val="0"/>
      <w:divBdr>
        <w:top w:val="none" w:sz="0" w:space="0" w:color="auto"/>
        <w:left w:val="none" w:sz="0" w:space="0" w:color="auto"/>
        <w:bottom w:val="none" w:sz="0" w:space="0" w:color="auto"/>
        <w:right w:val="none" w:sz="0" w:space="0" w:color="auto"/>
      </w:divBdr>
      <w:divsChild>
        <w:div w:id="26293832">
          <w:marLeft w:val="0"/>
          <w:marRight w:val="0"/>
          <w:marTop w:val="0"/>
          <w:marBottom w:val="0"/>
          <w:divBdr>
            <w:top w:val="none" w:sz="0" w:space="0" w:color="auto"/>
            <w:left w:val="none" w:sz="0" w:space="0" w:color="auto"/>
            <w:bottom w:val="none" w:sz="0" w:space="0" w:color="auto"/>
            <w:right w:val="none" w:sz="0" w:space="0" w:color="auto"/>
          </w:divBdr>
        </w:div>
        <w:div w:id="297995389">
          <w:marLeft w:val="0"/>
          <w:marRight w:val="0"/>
          <w:marTop w:val="0"/>
          <w:marBottom w:val="0"/>
          <w:divBdr>
            <w:top w:val="none" w:sz="0" w:space="0" w:color="auto"/>
            <w:left w:val="none" w:sz="0" w:space="0" w:color="auto"/>
            <w:bottom w:val="none" w:sz="0" w:space="0" w:color="auto"/>
            <w:right w:val="none" w:sz="0" w:space="0" w:color="auto"/>
          </w:divBdr>
        </w:div>
        <w:div w:id="316501181">
          <w:marLeft w:val="0"/>
          <w:marRight w:val="0"/>
          <w:marTop w:val="0"/>
          <w:marBottom w:val="0"/>
          <w:divBdr>
            <w:top w:val="none" w:sz="0" w:space="0" w:color="auto"/>
            <w:left w:val="none" w:sz="0" w:space="0" w:color="auto"/>
            <w:bottom w:val="none" w:sz="0" w:space="0" w:color="auto"/>
            <w:right w:val="none" w:sz="0" w:space="0" w:color="auto"/>
          </w:divBdr>
        </w:div>
        <w:div w:id="355927268">
          <w:marLeft w:val="0"/>
          <w:marRight w:val="0"/>
          <w:marTop w:val="0"/>
          <w:marBottom w:val="0"/>
          <w:divBdr>
            <w:top w:val="none" w:sz="0" w:space="0" w:color="auto"/>
            <w:left w:val="none" w:sz="0" w:space="0" w:color="auto"/>
            <w:bottom w:val="none" w:sz="0" w:space="0" w:color="auto"/>
            <w:right w:val="none" w:sz="0" w:space="0" w:color="auto"/>
          </w:divBdr>
        </w:div>
        <w:div w:id="362444404">
          <w:marLeft w:val="0"/>
          <w:marRight w:val="0"/>
          <w:marTop w:val="0"/>
          <w:marBottom w:val="0"/>
          <w:divBdr>
            <w:top w:val="none" w:sz="0" w:space="0" w:color="auto"/>
            <w:left w:val="none" w:sz="0" w:space="0" w:color="auto"/>
            <w:bottom w:val="none" w:sz="0" w:space="0" w:color="auto"/>
            <w:right w:val="none" w:sz="0" w:space="0" w:color="auto"/>
          </w:divBdr>
        </w:div>
        <w:div w:id="624315139">
          <w:marLeft w:val="0"/>
          <w:marRight w:val="0"/>
          <w:marTop w:val="0"/>
          <w:marBottom w:val="0"/>
          <w:divBdr>
            <w:top w:val="none" w:sz="0" w:space="0" w:color="auto"/>
            <w:left w:val="none" w:sz="0" w:space="0" w:color="auto"/>
            <w:bottom w:val="none" w:sz="0" w:space="0" w:color="auto"/>
            <w:right w:val="none" w:sz="0" w:space="0" w:color="auto"/>
          </w:divBdr>
        </w:div>
        <w:div w:id="654997110">
          <w:marLeft w:val="0"/>
          <w:marRight w:val="0"/>
          <w:marTop w:val="0"/>
          <w:marBottom w:val="0"/>
          <w:divBdr>
            <w:top w:val="none" w:sz="0" w:space="0" w:color="auto"/>
            <w:left w:val="none" w:sz="0" w:space="0" w:color="auto"/>
            <w:bottom w:val="none" w:sz="0" w:space="0" w:color="auto"/>
            <w:right w:val="none" w:sz="0" w:space="0" w:color="auto"/>
          </w:divBdr>
        </w:div>
        <w:div w:id="914050230">
          <w:marLeft w:val="0"/>
          <w:marRight w:val="0"/>
          <w:marTop w:val="0"/>
          <w:marBottom w:val="0"/>
          <w:divBdr>
            <w:top w:val="none" w:sz="0" w:space="0" w:color="auto"/>
            <w:left w:val="none" w:sz="0" w:space="0" w:color="auto"/>
            <w:bottom w:val="none" w:sz="0" w:space="0" w:color="auto"/>
            <w:right w:val="none" w:sz="0" w:space="0" w:color="auto"/>
          </w:divBdr>
        </w:div>
        <w:div w:id="1589535774">
          <w:marLeft w:val="0"/>
          <w:marRight w:val="0"/>
          <w:marTop w:val="0"/>
          <w:marBottom w:val="0"/>
          <w:divBdr>
            <w:top w:val="none" w:sz="0" w:space="0" w:color="auto"/>
            <w:left w:val="none" w:sz="0" w:space="0" w:color="auto"/>
            <w:bottom w:val="none" w:sz="0" w:space="0" w:color="auto"/>
            <w:right w:val="none" w:sz="0" w:space="0" w:color="auto"/>
          </w:divBdr>
        </w:div>
        <w:div w:id="1711301015">
          <w:marLeft w:val="0"/>
          <w:marRight w:val="0"/>
          <w:marTop w:val="0"/>
          <w:marBottom w:val="0"/>
          <w:divBdr>
            <w:top w:val="none" w:sz="0" w:space="0" w:color="auto"/>
            <w:left w:val="none" w:sz="0" w:space="0" w:color="auto"/>
            <w:bottom w:val="none" w:sz="0" w:space="0" w:color="auto"/>
            <w:right w:val="none" w:sz="0" w:space="0" w:color="auto"/>
          </w:divBdr>
        </w:div>
        <w:div w:id="1713768636">
          <w:marLeft w:val="0"/>
          <w:marRight w:val="0"/>
          <w:marTop w:val="0"/>
          <w:marBottom w:val="0"/>
          <w:divBdr>
            <w:top w:val="none" w:sz="0" w:space="0" w:color="auto"/>
            <w:left w:val="none" w:sz="0" w:space="0" w:color="auto"/>
            <w:bottom w:val="none" w:sz="0" w:space="0" w:color="auto"/>
            <w:right w:val="none" w:sz="0" w:space="0" w:color="auto"/>
          </w:divBdr>
        </w:div>
        <w:div w:id="2126802205">
          <w:marLeft w:val="0"/>
          <w:marRight w:val="0"/>
          <w:marTop w:val="0"/>
          <w:marBottom w:val="0"/>
          <w:divBdr>
            <w:top w:val="none" w:sz="0" w:space="0" w:color="auto"/>
            <w:left w:val="none" w:sz="0" w:space="0" w:color="auto"/>
            <w:bottom w:val="none" w:sz="0" w:space="0" w:color="auto"/>
            <w:right w:val="none" w:sz="0" w:space="0" w:color="auto"/>
          </w:divBdr>
          <w:divsChild>
            <w:div w:id="1860119361">
              <w:marLeft w:val="-75"/>
              <w:marRight w:val="0"/>
              <w:marTop w:val="30"/>
              <w:marBottom w:val="30"/>
              <w:divBdr>
                <w:top w:val="none" w:sz="0" w:space="0" w:color="auto"/>
                <w:left w:val="none" w:sz="0" w:space="0" w:color="auto"/>
                <w:bottom w:val="none" w:sz="0" w:space="0" w:color="auto"/>
                <w:right w:val="none" w:sz="0" w:space="0" w:color="auto"/>
              </w:divBdr>
              <w:divsChild>
                <w:div w:id="30113575">
                  <w:marLeft w:val="0"/>
                  <w:marRight w:val="0"/>
                  <w:marTop w:val="0"/>
                  <w:marBottom w:val="0"/>
                  <w:divBdr>
                    <w:top w:val="none" w:sz="0" w:space="0" w:color="auto"/>
                    <w:left w:val="none" w:sz="0" w:space="0" w:color="auto"/>
                    <w:bottom w:val="none" w:sz="0" w:space="0" w:color="auto"/>
                    <w:right w:val="none" w:sz="0" w:space="0" w:color="auto"/>
                  </w:divBdr>
                  <w:divsChild>
                    <w:div w:id="1347101345">
                      <w:marLeft w:val="0"/>
                      <w:marRight w:val="0"/>
                      <w:marTop w:val="0"/>
                      <w:marBottom w:val="0"/>
                      <w:divBdr>
                        <w:top w:val="none" w:sz="0" w:space="0" w:color="auto"/>
                        <w:left w:val="none" w:sz="0" w:space="0" w:color="auto"/>
                        <w:bottom w:val="none" w:sz="0" w:space="0" w:color="auto"/>
                        <w:right w:val="none" w:sz="0" w:space="0" w:color="auto"/>
                      </w:divBdr>
                    </w:div>
                  </w:divsChild>
                </w:div>
                <w:div w:id="114719384">
                  <w:marLeft w:val="0"/>
                  <w:marRight w:val="0"/>
                  <w:marTop w:val="0"/>
                  <w:marBottom w:val="0"/>
                  <w:divBdr>
                    <w:top w:val="none" w:sz="0" w:space="0" w:color="auto"/>
                    <w:left w:val="none" w:sz="0" w:space="0" w:color="auto"/>
                    <w:bottom w:val="none" w:sz="0" w:space="0" w:color="auto"/>
                    <w:right w:val="none" w:sz="0" w:space="0" w:color="auto"/>
                  </w:divBdr>
                  <w:divsChild>
                    <w:div w:id="1243954320">
                      <w:marLeft w:val="0"/>
                      <w:marRight w:val="0"/>
                      <w:marTop w:val="0"/>
                      <w:marBottom w:val="0"/>
                      <w:divBdr>
                        <w:top w:val="none" w:sz="0" w:space="0" w:color="auto"/>
                        <w:left w:val="none" w:sz="0" w:space="0" w:color="auto"/>
                        <w:bottom w:val="none" w:sz="0" w:space="0" w:color="auto"/>
                        <w:right w:val="none" w:sz="0" w:space="0" w:color="auto"/>
                      </w:divBdr>
                    </w:div>
                  </w:divsChild>
                </w:div>
                <w:div w:id="183370674">
                  <w:marLeft w:val="0"/>
                  <w:marRight w:val="0"/>
                  <w:marTop w:val="0"/>
                  <w:marBottom w:val="0"/>
                  <w:divBdr>
                    <w:top w:val="none" w:sz="0" w:space="0" w:color="auto"/>
                    <w:left w:val="none" w:sz="0" w:space="0" w:color="auto"/>
                    <w:bottom w:val="none" w:sz="0" w:space="0" w:color="auto"/>
                    <w:right w:val="none" w:sz="0" w:space="0" w:color="auto"/>
                  </w:divBdr>
                  <w:divsChild>
                    <w:div w:id="1539197851">
                      <w:marLeft w:val="0"/>
                      <w:marRight w:val="0"/>
                      <w:marTop w:val="0"/>
                      <w:marBottom w:val="0"/>
                      <w:divBdr>
                        <w:top w:val="none" w:sz="0" w:space="0" w:color="auto"/>
                        <w:left w:val="none" w:sz="0" w:space="0" w:color="auto"/>
                        <w:bottom w:val="none" w:sz="0" w:space="0" w:color="auto"/>
                        <w:right w:val="none" w:sz="0" w:space="0" w:color="auto"/>
                      </w:divBdr>
                    </w:div>
                  </w:divsChild>
                </w:div>
                <w:div w:id="191696158">
                  <w:marLeft w:val="0"/>
                  <w:marRight w:val="0"/>
                  <w:marTop w:val="0"/>
                  <w:marBottom w:val="0"/>
                  <w:divBdr>
                    <w:top w:val="none" w:sz="0" w:space="0" w:color="auto"/>
                    <w:left w:val="none" w:sz="0" w:space="0" w:color="auto"/>
                    <w:bottom w:val="none" w:sz="0" w:space="0" w:color="auto"/>
                    <w:right w:val="none" w:sz="0" w:space="0" w:color="auto"/>
                  </w:divBdr>
                  <w:divsChild>
                    <w:div w:id="1362172653">
                      <w:marLeft w:val="0"/>
                      <w:marRight w:val="0"/>
                      <w:marTop w:val="0"/>
                      <w:marBottom w:val="0"/>
                      <w:divBdr>
                        <w:top w:val="none" w:sz="0" w:space="0" w:color="auto"/>
                        <w:left w:val="none" w:sz="0" w:space="0" w:color="auto"/>
                        <w:bottom w:val="none" w:sz="0" w:space="0" w:color="auto"/>
                        <w:right w:val="none" w:sz="0" w:space="0" w:color="auto"/>
                      </w:divBdr>
                    </w:div>
                  </w:divsChild>
                </w:div>
                <w:div w:id="193541517">
                  <w:marLeft w:val="0"/>
                  <w:marRight w:val="0"/>
                  <w:marTop w:val="0"/>
                  <w:marBottom w:val="0"/>
                  <w:divBdr>
                    <w:top w:val="none" w:sz="0" w:space="0" w:color="auto"/>
                    <w:left w:val="none" w:sz="0" w:space="0" w:color="auto"/>
                    <w:bottom w:val="none" w:sz="0" w:space="0" w:color="auto"/>
                    <w:right w:val="none" w:sz="0" w:space="0" w:color="auto"/>
                  </w:divBdr>
                  <w:divsChild>
                    <w:div w:id="2084982576">
                      <w:marLeft w:val="0"/>
                      <w:marRight w:val="0"/>
                      <w:marTop w:val="0"/>
                      <w:marBottom w:val="0"/>
                      <w:divBdr>
                        <w:top w:val="none" w:sz="0" w:space="0" w:color="auto"/>
                        <w:left w:val="none" w:sz="0" w:space="0" w:color="auto"/>
                        <w:bottom w:val="none" w:sz="0" w:space="0" w:color="auto"/>
                        <w:right w:val="none" w:sz="0" w:space="0" w:color="auto"/>
                      </w:divBdr>
                    </w:div>
                  </w:divsChild>
                </w:div>
                <w:div w:id="360325982">
                  <w:marLeft w:val="0"/>
                  <w:marRight w:val="0"/>
                  <w:marTop w:val="0"/>
                  <w:marBottom w:val="0"/>
                  <w:divBdr>
                    <w:top w:val="none" w:sz="0" w:space="0" w:color="auto"/>
                    <w:left w:val="none" w:sz="0" w:space="0" w:color="auto"/>
                    <w:bottom w:val="none" w:sz="0" w:space="0" w:color="auto"/>
                    <w:right w:val="none" w:sz="0" w:space="0" w:color="auto"/>
                  </w:divBdr>
                  <w:divsChild>
                    <w:div w:id="655956257">
                      <w:marLeft w:val="0"/>
                      <w:marRight w:val="0"/>
                      <w:marTop w:val="0"/>
                      <w:marBottom w:val="0"/>
                      <w:divBdr>
                        <w:top w:val="none" w:sz="0" w:space="0" w:color="auto"/>
                        <w:left w:val="none" w:sz="0" w:space="0" w:color="auto"/>
                        <w:bottom w:val="none" w:sz="0" w:space="0" w:color="auto"/>
                        <w:right w:val="none" w:sz="0" w:space="0" w:color="auto"/>
                      </w:divBdr>
                    </w:div>
                  </w:divsChild>
                </w:div>
                <w:div w:id="437412395">
                  <w:marLeft w:val="0"/>
                  <w:marRight w:val="0"/>
                  <w:marTop w:val="0"/>
                  <w:marBottom w:val="0"/>
                  <w:divBdr>
                    <w:top w:val="none" w:sz="0" w:space="0" w:color="auto"/>
                    <w:left w:val="none" w:sz="0" w:space="0" w:color="auto"/>
                    <w:bottom w:val="none" w:sz="0" w:space="0" w:color="auto"/>
                    <w:right w:val="none" w:sz="0" w:space="0" w:color="auto"/>
                  </w:divBdr>
                  <w:divsChild>
                    <w:div w:id="352340434">
                      <w:marLeft w:val="0"/>
                      <w:marRight w:val="0"/>
                      <w:marTop w:val="0"/>
                      <w:marBottom w:val="0"/>
                      <w:divBdr>
                        <w:top w:val="none" w:sz="0" w:space="0" w:color="auto"/>
                        <w:left w:val="none" w:sz="0" w:space="0" w:color="auto"/>
                        <w:bottom w:val="none" w:sz="0" w:space="0" w:color="auto"/>
                        <w:right w:val="none" w:sz="0" w:space="0" w:color="auto"/>
                      </w:divBdr>
                    </w:div>
                  </w:divsChild>
                </w:div>
                <w:div w:id="461074380">
                  <w:marLeft w:val="0"/>
                  <w:marRight w:val="0"/>
                  <w:marTop w:val="0"/>
                  <w:marBottom w:val="0"/>
                  <w:divBdr>
                    <w:top w:val="none" w:sz="0" w:space="0" w:color="auto"/>
                    <w:left w:val="none" w:sz="0" w:space="0" w:color="auto"/>
                    <w:bottom w:val="none" w:sz="0" w:space="0" w:color="auto"/>
                    <w:right w:val="none" w:sz="0" w:space="0" w:color="auto"/>
                  </w:divBdr>
                  <w:divsChild>
                    <w:div w:id="2146458734">
                      <w:marLeft w:val="0"/>
                      <w:marRight w:val="0"/>
                      <w:marTop w:val="0"/>
                      <w:marBottom w:val="0"/>
                      <w:divBdr>
                        <w:top w:val="none" w:sz="0" w:space="0" w:color="auto"/>
                        <w:left w:val="none" w:sz="0" w:space="0" w:color="auto"/>
                        <w:bottom w:val="none" w:sz="0" w:space="0" w:color="auto"/>
                        <w:right w:val="none" w:sz="0" w:space="0" w:color="auto"/>
                      </w:divBdr>
                    </w:div>
                  </w:divsChild>
                </w:div>
                <w:div w:id="486869000">
                  <w:marLeft w:val="0"/>
                  <w:marRight w:val="0"/>
                  <w:marTop w:val="0"/>
                  <w:marBottom w:val="0"/>
                  <w:divBdr>
                    <w:top w:val="none" w:sz="0" w:space="0" w:color="auto"/>
                    <w:left w:val="none" w:sz="0" w:space="0" w:color="auto"/>
                    <w:bottom w:val="none" w:sz="0" w:space="0" w:color="auto"/>
                    <w:right w:val="none" w:sz="0" w:space="0" w:color="auto"/>
                  </w:divBdr>
                  <w:divsChild>
                    <w:div w:id="1571697692">
                      <w:marLeft w:val="0"/>
                      <w:marRight w:val="0"/>
                      <w:marTop w:val="0"/>
                      <w:marBottom w:val="0"/>
                      <w:divBdr>
                        <w:top w:val="none" w:sz="0" w:space="0" w:color="auto"/>
                        <w:left w:val="none" w:sz="0" w:space="0" w:color="auto"/>
                        <w:bottom w:val="none" w:sz="0" w:space="0" w:color="auto"/>
                        <w:right w:val="none" w:sz="0" w:space="0" w:color="auto"/>
                      </w:divBdr>
                    </w:div>
                  </w:divsChild>
                </w:div>
                <w:div w:id="535508350">
                  <w:marLeft w:val="0"/>
                  <w:marRight w:val="0"/>
                  <w:marTop w:val="0"/>
                  <w:marBottom w:val="0"/>
                  <w:divBdr>
                    <w:top w:val="none" w:sz="0" w:space="0" w:color="auto"/>
                    <w:left w:val="none" w:sz="0" w:space="0" w:color="auto"/>
                    <w:bottom w:val="none" w:sz="0" w:space="0" w:color="auto"/>
                    <w:right w:val="none" w:sz="0" w:space="0" w:color="auto"/>
                  </w:divBdr>
                  <w:divsChild>
                    <w:div w:id="977494837">
                      <w:marLeft w:val="0"/>
                      <w:marRight w:val="0"/>
                      <w:marTop w:val="0"/>
                      <w:marBottom w:val="0"/>
                      <w:divBdr>
                        <w:top w:val="none" w:sz="0" w:space="0" w:color="auto"/>
                        <w:left w:val="none" w:sz="0" w:space="0" w:color="auto"/>
                        <w:bottom w:val="none" w:sz="0" w:space="0" w:color="auto"/>
                        <w:right w:val="none" w:sz="0" w:space="0" w:color="auto"/>
                      </w:divBdr>
                    </w:div>
                  </w:divsChild>
                </w:div>
                <w:div w:id="551573844">
                  <w:marLeft w:val="0"/>
                  <w:marRight w:val="0"/>
                  <w:marTop w:val="0"/>
                  <w:marBottom w:val="0"/>
                  <w:divBdr>
                    <w:top w:val="none" w:sz="0" w:space="0" w:color="auto"/>
                    <w:left w:val="none" w:sz="0" w:space="0" w:color="auto"/>
                    <w:bottom w:val="none" w:sz="0" w:space="0" w:color="auto"/>
                    <w:right w:val="none" w:sz="0" w:space="0" w:color="auto"/>
                  </w:divBdr>
                  <w:divsChild>
                    <w:div w:id="1241984574">
                      <w:marLeft w:val="0"/>
                      <w:marRight w:val="0"/>
                      <w:marTop w:val="0"/>
                      <w:marBottom w:val="0"/>
                      <w:divBdr>
                        <w:top w:val="none" w:sz="0" w:space="0" w:color="auto"/>
                        <w:left w:val="none" w:sz="0" w:space="0" w:color="auto"/>
                        <w:bottom w:val="none" w:sz="0" w:space="0" w:color="auto"/>
                        <w:right w:val="none" w:sz="0" w:space="0" w:color="auto"/>
                      </w:divBdr>
                    </w:div>
                  </w:divsChild>
                </w:div>
                <w:div w:id="575627467">
                  <w:marLeft w:val="0"/>
                  <w:marRight w:val="0"/>
                  <w:marTop w:val="0"/>
                  <w:marBottom w:val="0"/>
                  <w:divBdr>
                    <w:top w:val="none" w:sz="0" w:space="0" w:color="auto"/>
                    <w:left w:val="none" w:sz="0" w:space="0" w:color="auto"/>
                    <w:bottom w:val="none" w:sz="0" w:space="0" w:color="auto"/>
                    <w:right w:val="none" w:sz="0" w:space="0" w:color="auto"/>
                  </w:divBdr>
                  <w:divsChild>
                    <w:div w:id="108015043">
                      <w:marLeft w:val="0"/>
                      <w:marRight w:val="0"/>
                      <w:marTop w:val="0"/>
                      <w:marBottom w:val="0"/>
                      <w:divBdr>
                        <w:top w:val="none" w:sz="0" w:space="0" w:color="auto"/>
                        <w:left w:val="none" w:sz="0" w:space="0" w:color="auto"/>
                        <w:bottom w:val="none" w:sz="0" w:space="0" w:color="auto"/>
                        <w:right w:val="none" w:sz="0" w:space="0" w:color="auto"/>
                      </w:divBdr>
                    </w:div>
                  </w:divsChild>
                </w:div>
                <w:div w:id="666983707">
                  <w:marLeft w:val="0"/>
                  <w:marRight w:val="0"/>
                  <w:marTop w:val="0"/>
                  <w:marBottom w:val="0"/>
                  <w:divBdr>
                    <w:top w:val="none" w:sz="0" w:space="0" w:color="auto"/>
                    <w:left w:val="none" w:sz="0" w:space="0" w:color="auto"/>
                    <w:bottom w:val="none" w:sz="0" w:space="0" w:color="auto"/>
                    <w:right w:val="none" w:sz="0" w:space="0" w:color="auto"/>
                  </w:divBdr>
                  <w:divsChild>
                    <w:div w:id="890337726">
                      <w:marLeft w:val="0"/>
                      <w:marRight w:val="0"/>
                      <w:marTop w:val="0"/>
                      <w:marBottom w:val="0"/>
                      <w:divBdr>
                        <w:top w:val="none" w:sz="0" w:space="0" w:color="auto"/>
                        <w:left w:val="none" w:sz="0" w:space="0" w:color="auto"/>
                        <w:bottom w:val="none" w:sz="0" w:space="0" w:color="auto"/>
                        <w:right w:val="none" w:sz="0" w:space="0" w:color="auto"/>
                      </w:divBdr>
                    </w:div>
                  </w:divsChild>
                </w:div>
                <w:div w:id="671762526">
                  <w:marLeft w:val="0"/>
                  <w:marRight w:val="0"/>
                  <w:marTop w:val="0"/>
                  <w:marBottom w:val="0"/>
                  <w:divBdr>
                    <w:top w:val="none" w:sz="0" w:space="0" w:color="auto"/>
                    <w:left w:val="none" w:sz="0" w:space="0" w:color="auto"/>
                    <w:bottom w:val="none" w:sz="0" w:space="0" w:color="auto"/>
                    <w:right w:val="none" w:sz="0" w:space="0" w:color="auto"/>
                  </w:divBdr>
                  <w:divsChild>
                    <w:div w:id="1397432680">
                      <w:marLeft w:val="0"/>
                      <w:marRight w:val="0"/>
                      <w:marTop w:val="0"/>
                      <w:marBottom w:val="0"/>
                      <w:divBdr>
                        <w:top w:val="none" w:sz="0" w:space="0" w:color="auto"/>
                        <w:left w:val="none" w:sz="0" w:space="0" w:color="auto"/>
                        <w:bottom w:val="none" w:sz="0" w:space="0" w:color="auto"/>
                        <w:right w:val="none" w:sz="0" w:space="0" w:color="auto"/>
                      </w:divBdr>
                    </w:div>
                  </w:divsChild>
                </w:div>
                <w:div w:id="746809943">
                  <w:marLeft w:val="0"/>
                  <w:marRight w:val="0"/>
                  <w:marTop w:val="0"/>
                  <w:marBottom w:val="0"/>
                  <w:divBdr>
                    <w:top w:val="none" w:sz="0" w:space="0" w:color="auto"/>
                    <w:left w:val="none" w:sz="0" w:space="0" w:color="auto"/>
                    <w:bottom w:val="none" w:sz="0" w:space="0" w:color="auto"/>
                    <w:right w:val="none" w:sz="0" w:space="0" w:color="auto"/>
                  </w:divBdr>
                  <w:divsChild>
                    <w:div w:id="638806138">
                      <w:marLeft w:val="0"/>
                      <w:marRight w:val="0"/>
                      <w:marTop w:val="0"/>
                      <w:marBottom w:val="0"/>
                      <w:divBdr>
                        <w:top w:val="none" w:sz="0" w:space="0" w:color="auto"/>
                        <w:left w:val="none" w:sz="0" w:space="0" w:color="auto"/>
                        <w:bottom w:val="none" w:sz="0" w:space="0" w:color="auto"/>
                        <w:right w:val="none" w:sz="0" w:space="0" w:color="auto"/>
                      </w:divBdr>
                    </w:div>
                  </w:divsChild>
                </w:div>
                <w:div w:id="768042928">
                  <w:marLeft w:val="0"/>
                  <w:marRight w:val="0"/>
                  <w:marTop w:val="0"/>
                  <w:marBottom w:val="0"/>
                  <w:divBdr>
                    <w:top w:val="none" w:sz="0" w:space="0" w:color="auto"/>
                    <w:left w:val="none" w:sz="0" w:space="0" w:color="auto"/>
                    <w:bottom w:val="none" w:sz="0" w:space="0" w:color="auto"/>
                    <w:right w:val="none" w:sz="0" w:space="0" w:color="auto"/>
                  </w:divBdr>
                  <w:divsChild>
                    <w:div w:id="2049837294">
                      <w:marLeft w:val="0"/>
                      <w:marRight w:val="0"/>
                      <w:marTop w:val="0"/>
                      <w:marBottom w:val="0"/>
                      <w:divBdr>
                        <w:top w:val="none" w:sz="0" w:space="0" w:color="auto"/>
                        <w:left w:val="none" w:sz="0" w:space="0" w:color="auto"/>
                        <w:bottom w:val="none" w:sz="0" w:space="0" w:color="auto"/>
                        <w:right w:val="none" w:sz="0" w:space="0" w:color="auto"/>
                      </w:divBdr>
                    </w:div>
                  </w:divsChild>
                </w:div>
                <w:div w:id="924463641">
                  <w:marLeft w:val="0"/>
                  <w:marRight w:val="0"/>
                  <w:marTop w:val="0"/>
                  <w:marBottom w:val="0"/>
                  <w:divBdr>
                    <w:top w:val="none" w:sz="0" w:space="0" w:color="auto"/>
                    <w:left w:val="none" w:sz="0" w:space="0" w:color="auto"/>
                    <w:bottom w:val="none" w:sz="0" w:space="0" w:color="auto"/>
                    <w:right w:val="none" w:sz="0" w:space="0" w:color="auto"/>
                  </w:divBdr>
                  <w:divsChild>
                    <w:div w:id="42994230">
                      <w:marLeft w:val="0"/>
                      <w:marRight w:val="0"/>
                      <w:marTop w:val="0"/>
                      <w:marBottom w:val="0"/>
                      <w:divBdr>
                        <w:top w:val="none" w:sz="0" w:space="0" w:color="auto"/>
                        <w:left w:val="none" w:sz="0" w:space="0" w:color="auto"/>
                        <w:bottom w:val="none" w:sz="0" w:space="0" w:color="auto"/>
                        <w:right w:val="none" w:sz="0" w:space="0" w:color="auto"/>
                      </w:divBdr>
                    </w:div>
                  </w:divsChild>
                </w:div>
                <w:div w:id="962535528">
                  <w:marLeft w:val="0"/>
                  <w:marRight w:val="0"/>
                  <w:marTop w:val="0"/>
                  <w:marBottom w:val="0"/>
                  <w:divBdr>
                    <w:top w:val="none" w:sz="0" w:space="0" w:color="auto"/>
                    <w:left w:val="none" w:sz="0" w:space="0" w:color="auto"/>
                    <w:bottom w:val="none" w:sz="0" w:space="0" w:color="auto"/>
                    <w:right w:val="none" w:sz="0" w:space="0" w:color="auto"/>
                  </w:divBdr>
                  <w:divsChild>
                    <w:div w:id="1013150149">
                      <w:marLeft w:val="0"/>
                      <w:marRight w:val="0"/>
                      <w:marTop w:val="0"/>
                      <w:marBottom w:val="0"/>
                      <w:divBdr>
                        <w:top w:val="none" w:sz="0" w:space="0" w:color="auto"/>
                        <w:left w:val="none" w:sz="0" w:space="0" w:color="auto"/>
                        <w:bottom w:val="none" w:sz="0" w:space="0" w:color="auto"/>
                        <w:right w:val="none" w:sz="0" w:space="0" w:color="auto"/>
                      </w:divBdr>
                    </w:div>
                  </w:divsChild>
                </w:div>
                <w:div w:id="1040131926">
                  <w:marLeft w:val="0"/>
                  <w:marRight w:val="0"/>
                  <w:marTop w:val="0"/>
                  <w:marBottom w:val="0"/>
                  <w:divBdr>
                    <w:top w:val="none" w:sz="0" w:space="0" w:color="auto"/>
                    <w:left w:val="none" w:sz="0" w:space="0" w:color="auto"/>
                    <w:bottom w:val="none" w:sz="0" w:space="0" w:color="auto"/>
                    <w:right w:val="none" w:sz="0" w:space="0" w:color="auto"/>
                  </w:divBdr>
                  <w:divsChild>
                    <w:div w:id="286204518">
                      <w:marLeft w:val="0"/>
                      <w:marRight w:val="0"/>
                      <w:marTop w:val="0"/>
                      <w:marBottom w:val="0"/>
                      <w:divBdr>
                        <w:top w:val="none" w:sz="0" w:space="0" w:color="auto"/>
                        <w:left w:val="none" w:sz="0" w:space="0" w:color="auto"/>
                        <w:bottom w:val="none" w:sz="0" w:space="0" w:color="auto"/>
                        <w:right w:val="none" w:sz="0" w:space="0" w:color="auto"/>
                      </w:divBdr>
                    </w:div>
                  </w:divsChild>
                </w:div>
                <w:div w:id="1121415613">
                  <w:marLeft w:val="0"/>
                  <w:marRight w:val="0"/>
                  <w:marTop w:val="0"/>
                  <w:marBottom w:val="0"/>
                  <w:divBdr>
                    <w:top w:val="none" w:sz="0" w:space="0" w:color="auto"/>
                    <w:left w:val="none" w:sz="0" w:space="0" w:color="auto"/>
                    <w:bottom w:val="none" w:sz="0" w:space="0" w:color="auto"/>
                    <w:right w:val="none" w:sz="0" w:space="0" w:color="auto"/>
                  </w:divBdr>
                  <w:divsChild>
                    <w:div w:id="1406343952">
                      <w:marLeft w:val="0"/>
                      <w:marRight w:val="0"/>
                      <w:marTop w:val="0"/>
                      <w:marBottom w:val="0"/>
                      <w:divBdr>
                        <w:top w:val="none" w:sz="0" w:space="0" w:color="auto"/>
                        <w:left w:val="none" w:sz="0" w:space="0" w:color="auto"/>
                        <w:bottom w:val="none" w:sz="0" w:space="0" w:color="auto"/>
                        <w:right w:val="none" w:sz="0" w:space="0" w:color="auto"/>
                      </w:divBdr>
                    </w:div>
                  </w:divsChild>
                </w:div>
                <w:div w:id="1329795932">
                  <w:marLeft w:val="0"/>
                  <w:marRight w:val="0"/>
                  <w:marTop w:val="0"/>
                  <w:marBottom w:val="0"/>
                  <w:divBdr>
                    <w:top w:val="none" w:sz="0" w:space="0" w:color="auto"/>
                    <w:left w:val="none" w:sz="0" w:space="0" w:color="auto"/>
                    <w:bottom w:val="none" w:sz="0" w:space="0" w:color="auto"/>
                    <w:right w:val="none" w:sz="0" w:space="0" w:color="auto"/>
                  </w:divBdr>
                  <w:divsChild>
                    <w:div w:id="1299259016">
                      <w:marLeft w:val="0"/>
                      <w:marRight w:val="0"/>
                      <w:marTop w:val="0"/>
                      <w:marBottom w:val="0"/>
                      <w:divBdr>
                        <w:top w:val="none" w:sz="0" w:space="0" w:color="auto"/>
                        <w:left w:val="none" w:sz="0" w:space="0" w:color="auto"/>
                        <w:bottom w:val="none" w:sz="0" w:space="0" w:color="auto"/>
                        <w:right w:val="none" w:sz="0" w:space="0" w:color="auto"/>
                      </w:divBdr>
                    </w:div>
                  </w:divsChild>
                </w:div>
                <w:div w:id="1409234124">
                  <w:marLeft w:val="0"/>
                  <w:marRight w:val="0"/>
                  <w:marTop w:val="0"/>
                  <w:marBottom w:val="0"/>
                  <w:divBdr>
                    <w:top w:val="none" w:sz="0" w:space="0" w:color="auto"/>
                    <w:left w:val="none" w:sz="0" w:space="0" w:color="auto"/>
                    <w:bottom w:val="none" w:sz="0" w:space="0" w:color="auto"/>
                    <w:right w:val="none" w:sz="0" w:space="0" w:color="auto"/>
                  </w:divBdr>
                  <w:divsChild>
                    <w:div w:id="959534068">
                      <w:marLeft w:val="0"/>
                      <w:marRight w:val="0"/>
                      <w:marTop w:val="0"/>
                      <w:marBottom w:val="0"/>
                      <w:divBdr>
                        <w:top w:val="none" w:sz="0" w:space="0" w:color="auto"/>
                        <w:left w:val="none" w:sz="0" w:space="0" w:color="auto"/>
                        <w:bottom w:val="none" w:sz="0" w:space="0" w:color="auto"/>
                        <w:right w:val="none" w:sz="0" w:space="0" w:color="auto"/>
                      </w:divBdr>
                    </w:div>
                  </w:divsChild>
                </w:div>
                <w:div w:id="1434010757">
                  <w:marLeft w:val="0"/>
                  <w:marRight w:val="0"/>
                  <w:marTop w:val="0"/>
                  <w:marBottom w:val="0"/>
                  <w:divBdr>
                    <w:top w:val="none" w:sz="0" w:space="0" w:color="auto"/>
                    <w:left w:val="none" w:sz="0" w:space="0" w:color="auto"/>
                    <w:bottom w:val="none" w:sz="0" w:space="0" w:color="auto"/>
                    <w:right w:val="none" w:sz="0" w:space="0" w:color="auto"/>
                  </w:divBdr>
                  <w:divsChild>
                    <w:div w:id="1426027190">
                      <w:marLeft w:val="0"/>
                      <w:marRight w:val="0"/>
                      <w:marTop w:val="0"/>
                      <w:marBottom w:val="0"/>
                      <w:divBdr>
                        <w:top w:val="none" w:sz="0" w:space="0" w:color="auto"/>
                        <w:left w:val="none" w:sz="0" w:space="0" w:color="auto"/>
                        <w:bottom w:val="none" w:sz="0" w:space="0" w:color="auto"/>
                        <w:right w:val="none" w:sz="0" w:space="0" w:color="auto"/>
                      </w:divBdr>
                    </w:div>
                  </w:divsChild>
                </w:div>
                <w:div w:id="1484196669">
                  <w:marLeft w:val="0"/>
                  <w:marRight w:val="0"/>
                  <w:marTop w:val="0"/>
                  <w:marBottom w:val="0"/>
                  <w:divBdr>
                    <w:top w:val="none" w:sz="0" w:space="0" w:color="auto"/>
                    <w:left w:val="none" w:sz="0" w:space="0" w:color="auto"/>
                    <w:bottom w:val="none" w:sz="0" w:space="0" w:color="auto"/>
                    <w:right w:val="none" w:sz="0" w:space="0" w:color="auto"/>
                  </w:divBdr>
                  <w:divsChild>
                    <w:div w:id="825439918">
                      <w:marLeft w:val="0"/>
                      <w:marRight w:val="0"/>
                      <w:marTop w:val="0"/>
                      <w:marBottom w:val="0"/>
                      <w:divBdr>
                        <w:top w:val="none" w:sz="0" w:space="0" w:color="auto"/>
                        <w:left w:val="none" w:sz="0" w:space="0" w:color="auto"/>
                        <w:bottom w:val="none" w:sz="0" w:space="0" w:color="auto"/>
                        <w:right w:val="none" w:sz="0" w:space="0" w:color="auto"/>
                      </w:divBdr>
                    </w:div>
                  </w:divsChild>
                </w:div>
                <w:div w:id="1525899410">
                  <w:marLeft w:val="0"/>
                  <w:marRight w:val="0"/>
                  <w:marTop w:val="0"/>
                  <w:marBottom w:val="0"/>
                  <w:divBdr>
                    <w:top w:val="none" w:sz="0" w:space="0" w:color="auto"/>
                    <w:left w:val="none" w:sz="0" w:space="0" w:color="auto"/>
                    <w:bottom w:val="none" w:sz="0" w:space="0" w:color="auto"/>
                    <w:right w:val="none" w:sz="0" w:space="0" w:color="auto"/>
                  </w:divBdr>
                  <w:divsChild>
                    <w:div w:id="902636846">
                      <w:marLeft w:val="0"/>
                      <w:marRight w:val="0"/>
                      <w:marTop w:val="0"/>
                      <w:marBottom w:val="0"/>
                      <w:divBdr>
                        <w:top w:val="none" w:sz="0" w:space="0" w:color="auto"/>
                        <w:left w:val="none" w:sz="0" w:space="0" w:color="auto"/>
                        <w:bottom w:val="none" w:sz="0" w:space="0" w:color="auto"/>
                        <w:right w:val="none" w:sz="0" w:space="0" w:color="auto"/>
                      </w:divBdr>
                    </w:div>
                  </w:divsChild>
                </w:div>
                <w:div w:id="1608463839">
                  <w:marLeft w:val="0"/>
                  <w:marRight w:val="0"/>
                  <w:marTop w:val="0"/>
                  <w:marBottom w:val="0"/>
                  <w:divBdr>
                    <w:top w:val="none" w:sz="0" w:space="0" w:color="auto"/>
                    <w:left w:val="none" w:sz="0" w:space="0" w:color="auto"/>
                    <w:bottom w:val="none" w:sz="0" w:space="0" w:color="auto"/>
                    <w:right w:val="none" w:sz="0" w:space="0" w:color="auto"/>
                  </w:divBdr>
                  <w:divsChild>
                    <w:div w:id="1484348678">
                      <w:marLeft w:val="0"/>
                      <w:marRight w:val="0"/>
                      <w:marTop w:val="0"/>
                      <w:marBottom w:val="0"/>
                      <w:divBdr>
                        <w:top w:val="none" w:sz="0" w:space="0" w:color="auto"/>
                        <w:left w:val="none" w:sz="0" w:space="0" w:color="auto"/>
                        <w:bottom w:val="none" w:sz="0" w:space="0" w:color="auto"/>
                        <w:right w:val="none" w:sz="0" w:space="0" w:color="auto"/>
                      </w:divBdr>
                    </w:div>
                  </w:divsChild>
                </w:div>
                <w:div w:id="1680624097">
                  <w:marLeft w:val="0"/>
                  <w:marRight w:val="0"/>
                  <w:marTop w:val="0"/>
                  <w:marBottom w:val="0"/>
                  <w:divBdr>
                    <w:top w:val="none" w:sz="0" w:space="0" w:color="auto"/>
                    <w:left w:val="none" w:sz="0" w:space="0" w:color="auto"/>
                    <w:bottom w:val="none" w:sz="0" w:space="0" w:color="auto"/>
                    <w:right w:val="none" w:sz="0" w:space="0" w:color="auto"/>
                  </w:divBdr>
                  <w:divsChild>
                    <w:div w:id="1519197302">
                      <w:marLeft w:val="0"/>
                      <w:marRight w:val="0"/>
                      <w:marTop w:val="0"/>
                      <w:marBottom w:val="0"/>
                      <w:divBdr>
                        <w:top w:val="none" w:sz="0" w:space="0" w:color="auto"/>
                        <w:left w:val="none" w:sz="0" w:space="0" w:color="auto"/>
                        <w:bottom w:val="none" w:sz="0" w:space="0" w:color="auto"/>
                        <w:right w:val="none" w:sz="0" w:space="0" w:color="auto"/>
                      </w:divBdr>
                    </w:div>
                  </w:divsChild>
                </w:div>
                <w:div w:id="1866164233">
                  <w:marLeft w:val="0"/>
                  <w:marRight w:val="0"/>
                  <w:marTop w:val="0"/>
                  <w:marBottom w:val="0"/>
                  <w:divBdr>
                    <w:top w:val="none" w:sz="0" w:space="0" w:color="auto"/>
                    <w:left w:val="none" w:sz="0" w:space="0" w:color="auto"/>
                    <w:bottom w:val="none" w:sz="0" w:space="0" w:color="auto"/>
                    <w:right w:val="none" w:sz="0" w:space="0" w:color="auto"/>
                  </w:divBdr>
                  <w:divsChild>
                    <w:div w:id="2105299383">
                      <w:marLeft w:val="0"/>
                      <w:marRight w:val="0"/>
                      <w:marTop w:val="0"/>
                      <w:marBottom w:val="0"/>
                      <w:divBdr>
                        <w:top w:val="none" w:sz="0" w:space="0" w:color="auto"/>
                        <w:left w:val="none" w:sz="0" w:space="0" w:color="auto"/>
                        <w:bottom w:val="none" w:sz="0" w:space="0" w:color="auto"/>
                        <w:right w:val="none" w:sz="0" w:space="0" w:color="auto"/>
                      </w:divBdr>
                    </w:div>
                  </w:divsChild>
                </w:div>
                <w:div w:id="1947691906">
                  <w:marLeft w:val="0"/>
                  <w:marRight w:val="0"/>
                  <w:marTop w:val="0"/>
                  <w:marBottom w:val="0"/>
                  <w:divBdr>
                    <w:top w:val="none" w:sz="0" w:space="0" w:color="auto"/>
                    <w:left w:val="none" w:sz="0" w:space="0" w:color="auto"/>
                    <w:bottom w:val="none" w:sz="0" w:space="0" w:color="auto"/>
                    <w:right w:val="none" w:sz="0" w:space="0" w:color="auto"/>
                  </w:divBdr>
                  <w:divsChild>
                    <w:div w:id="717705214">
                      <w:marLeft w:val="0"/>
                      <w:marRight w:val="0"/>
                      <w:marTop w:val="0"/>
                      <w:marBottom w:val="0"/>
                      <w:divBdr>
                        <w:top w:val="none" w:sz="0" w:space="0" w:color="auto"/>
                        <w:left w:val="none" w:sz="0" w:space="0" w:color="auto"/>
                        <w:bottom w:val="none" w:sz="0" w:space="0" w:color="auto"/>
                        <w:right w:val="none" w:sz="0" w:space="0" w:color="auto"/>
                      </w:divBdr>
                    </w:div>
                  </w:divsChild>
                </w:div>
                <w:div w:id="1996100552">
                  <w:marLeft w:val="0"/>
                  <w:marRight w:val="0"/>
                  <w:marTop w:val="0"/>
                  <w:marBottom w:val="0"/>
                  <w:divBdr>
                    <w:top w:val="none" w:sz="0" w:space="0" w:color="auto"/>
                    <w:left w:val="none" w:sz="0" w:space="0" w:color="auto"/>
                    <w:bottom w:val="none" w:sz="0" w:space="0" w:color="auto"/>
                    <w:right w:val="none" w:sz="0" w:space="0" w:color="auto"/>
                  </w:divBdr>
                  <w:divsChild>
                    <w:div w:id="20910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Specs/archive/22_series/22.870/22870-041.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Specs/archive/38_series/38.811/38811-f4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RBI5PAMIO524-1616901215-60649</_dlc_DocId>
    <_dlc_DocIdUrl xmlns="71c5aaf6-e6ce-465b-b873-5148d2a4c105">
      <Url>https://nokia.sharepoint.com/sites/gxp/_layouts/15/DocIdRedir.aspx?ID=RBI5PAMIO524-1616901215-60649</Url>
      <Description>RBI5PAMIO524-1616901215-60649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9FCB3321-C6AF-4F4C-A53E-8A665F6AB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1964</TotalTime>
  <Pages>5</Pages>
  <Words>2717</Words>
  <Characters>14388</Characters>
  <Application>Microsoft Office Word</Application>
  <DocSecurity>0</DocSecurity>
  <Lines>241</Lines>
  <Paragraphs>111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17065</CharactersWithSpaces>
  <SharedDoc>false</SharedDoc>
  <HyperlinkBase/>
  <HLinks>
    <vt:vector size="12" baseType="variant">
      <vt:variant>
        <vt:i4>7143424</vt:i4>
      </vt:variant>
      <vt:variant>
        <vt:i4>3</vt:i4>
      </vt:variant>
      <vt:variant>
        <vt:i4>0</vt:i4>
      </vt:variant>
      <vt:variant>
        <vt:i4>5</vt:i4>
      </vt:variant>
      <vt:variant>
        <vt:lpwstr>https://www.3gpp.org/ftp/Specs/archive/38_series/38.811/38811-f40.zip</vt:lpwstr>
      </vt:variant>
      <vt:variant>
        <vt:lpwstr/>
      </vt:variant>
      <vt:variant>
        <vt:i4>6750294</vt:i4>
      </vt:variant>
      <vt:variant>
        <vt:i4>0</vt:i4>
      </vt:variant>
      <vt:variant>
        <vt:i4>0</vt:i4>
      </vt:variant>
      <vt:variant>
        <vt:i4>5</vt:i4>
      </vt:variant>
      <vt:variant>
        <vt:lpwstr>https://www.3gpp.org/ftp/Specs/archive/22_series/22.870/22870-041.zip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924</cp:revision>
  <dcterms:created xsi:type="dcterms:W3CDTF">2016-08-15T04:53:00Z</dcterms:created>
  <dcterms:modified xsi:type="dcterms:W3CDTF">2025-11-07T08:41:00Z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d23ec9fc-9ffd-4023-afe1-082e0e261f27</vt:lpwstr>
  </property>
  <property fmtid="{D5CDD505-2E9C-101B-9397-08002B2CF9AE}" pid="5" name="docLang">
    <vt:lpwstr>en</vt:lpwstr>
  </property>
</Properties>
</file>